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2060"/>
  <w:body>
    <w:p w:rsidR="00D0251A" w:rsidRPr="00E42BF5" w:rsidRDefault="00E42BF5" w:rsidP="00E42BF5">
      <w:pPr>
        <w:pStyle w:val="Title"/>
        <w:spacing w:after="0"/>
        <w:contextualSpacing/>
        <w:outlineLvl w:val="9"/>
        <w:rPr>
          <w:rFonts w:asciiTheme="majorHAnsi" w:eastAsiaTheme="majorEastAsia" w:hAnsiTheme="majorHAnsi" w:cstheme="majorBidi"/>
          <w:b w:val="0"/>
          <w:bCs w:val="0"/>
          <w:spacing w:val="-10"/>
          <w:sz w:val="40"/>
          <w:szCs w:val="56"/>
          <w:u w:val="none"/>
        </w:rPr>
      </w:pPr>
      <w:bookmarkStart w:id="0" w:name="_GoBack"/>
      <w:bookmarkEnd w:id="0"/>
      <w:r w:rsidRPr="004B4A95">
        <w:rPr>
          <w:rFonts w:asciiTheme="majorHAnsi" w:eastAsiaTheme="majorEastAsia" w:hAnsiTheme="majorHAnsi" w:cstheme="majorBidi"/>
          <w:b w:val="0"/>
          <w:bCs w:val="0"/>
          <w:spacing w:val="-10"/>
          <w:sz w:val="40"/>
          <w:szCs w:val="56"/>
          <w:u w:val="none"/>
        </w:rPr>
        <w:t>Old Testament Introduction</w:t>
      </w:r>
      <w:r w:rsidRPr="004B4A95">
        <w:rPr>
          <w:rFonts w:asciiTheme="majorHAnsi" w:eastAsiaTheme="majorEastAsia" w:hAnsiTheme="majorHAnsi" w:cstheme="majorBidi"/>
          <w:b w:val="0"/>
          <w:bCs w:val="0"/>
          <w:spacing w:val="-10"/>
          <w:sz w:val="40"/>
          <w:szCs w:val="56"/>
          <w:u w:val="none"/>
        </w:rPr>
        <w:br/>
        <w:t>The Bible’s Buried Secrets</w:t>
      </w:r>
      <w:r>
        <w:rPr>
          <w:rFonts w:asciiTheme="majorHAnsi" w:eastAsiaTheme="majorEastAsia" w:hAnsiTheme="majorHAnsi" w:cstheme="majorBidi"/>
          <w:b w:val="0"/>
          <w:bCs w:val="0"/>
          <w:spacing w:val="-10"/>
          <w:sz w:val="40"/>
          <w:szCs w:val="56"/>
          <w:u w:val="none"/>
        </w:rPr>
        <w:br/>
        <w:t>Chapter 7</w:t>
      </w:r>
      <w:r w:rsidRPr="004B4A95">
        <w:rPr>
          <w:rFonts w:asciiTheme="majorHAnsi" w:eastAsiaTheme="majorEastAsia" w:hAnsiTheme="majorHAnsi" w:cstheme="majorBidi"/>
          <w:b w:val="0"/>
          <w:bCs w:val="0"/>
          <w:spacing w:val="-10"/>
          <w:sz w:val="40"/>
          <w:szCs w:val="56"/>
          <w:u w:val="none"/>
        </w:rPr>
        <w:t xml:space="preserve">, </w:t>
      </w:r>
      <w:r w:rsidR="00DF67E3" w:rsidRPr="00E42BF5">
        <w:rPr>
          <w:rFonts w:asciiTheme="majorHAnsi" w:eastAsiaTheme="majorEastAsia" w:hAnsiTheme="majorHAnsi" w:cstheme="majorBidi"/>
          <w:b w:val="0"/>
          <w:bCs w:val="0"/>
          <w:spacing w:val="-10"/>
          <w:sz w:val="40"/>
          <w:szCs w:val="56"/>
          <w:u w:val="none"/>
        </w:rPr>
        <w:t>Biblical Flashback</w:t>
      </w:r>
    </w:p>
    <w:p w:rsidR="00672178" w:rsidRPr="00871F66" w:rsidRDefault="009A0A70" w:rsidP="00672178">
      <w:pPr>
        <w:ind w:left="720" w:right="720"/>
        <w:rPr>
          <w:rStyle w:val="Hyperlink"/>
          <w:color w:val="000000" w:themeColor="text1"/>
        </w:rPr>
      </w:pPr>
      <w:hyperlink r:id="rId8" w:history="1">
        <w:r w:rsidR="00672178" w:rsidRPr="00FE3834">
          <w:rPr>
            <w:rStyle w:val="Hyperlink"/>
          </w:rPr>
          <w:t>http://www.pbs.org/wgbh/nova/ancient/bibles-buried-secrets.html</w:t>
        </w:r>
      </w:hyperlink>
    </w:p>
    <w:p w:rsidR="00672178" w:rsidRPr="00871F66" w:rsidRDefault="009A0A70" w:rsidP="00672178">
      <w:pPr>
        <w:ind w:left="720" w:right="720"/>
        <w:rPr>
          <w:rStyle w:val="Hyperlink"/>
          <w:color w:val="000000" w:themeColor="text1"/>
        </w:rPr>
      </w:pPr>
      <w:hyperlink r:id="rId9" w:history="1">
        <w:r w:rsidR="00672178" w:rsidRPr="009976A7">
          <w:rPr>
            <w:rStyle w:val="Hyperlink"/>
          </w:rPr>
          <w:t>https://www.youtube.com/watch?v=qalTJzk4kO0</w:t>
        </w:r>
      </w:hyperlink>
    </w:p>
    <w:p w:rsidR="00E42BF5" w:rsidRPr="004B4A95" w:rsidRDefault="00E42BF5" w:rsidP="00E42BF5">
      <w:pPr>
        <w:spacing w:before="120"/>
        <w:jc w:val="both"/>
        <w:rPr>
          <w:rFonts w:ascii="Trebuchet MS" w:hAnsi="Trebuchet MS"/>
          <w:b/>
          <w:bCs/>
          <w:i/>
          <w:iCs/>
          <w:sz w:val="36"/>
          <w:szCs w:val="36"/>
          <w:lang w:bidi="en-US"/>
        </w:rPr>
      </w:pPr>
      <w:r>
        <w:rPr>
          <w:rFonts w:ascii="Trebuchet MS" w:hAnsi="Trebuchet MS"/>
          <w:b/>
          <w:bCs/>
          <w:i/>
          <w:iCs/>
          <w:sz w:val="36"/>
          <w:szCs w:val="36"/>
          <w:lang w:bidi="en-US"/>
        </w:rPr>
        <w:t>Overview</w:t>
      </w:r>
    </w:p>
    <w:p w:rsidR="00E42BF5" w:rsidRDefault="00E42BF5" w:rsidP="00E42BF5">
      <w:pPr>
        <w:tabs>
          <w:tab w:val="left" w:pos="1080"/>
        </w:tabs>
      </w:pPr>
      <w:r>
        <w:t>What is for the most part an exact copy of the script follows.  There are a few places where individual speakers could neither be heard nor understood: for this we apologize.  Every effort was made to be precise: there were just spots that defeated us.  Since this is a quote in its entirety it seemed unnecessary to mark it with quotation marks.  The notation for each speaker is tedious enough: Narrator, Reader, etc.  If you discover bothersome errors, please reply to this website and point them out.  You may verify the script more easily by starting to replay it where the “time” stamps indicate discussion begins.  The second of the above links is free from advertising and thus easier to use.</w:t>
      </w:r>
    </w:p>
    <w:p w:rsidR="002070BE" w:rsidRDefault="00CB5CC1" w:rsidP="00CB5CC1">
      <w:pPr>
        <w:tabs>
          <w:tab w:val="left" w:pos="1080"/>
        </w:tabs>
      </w:pPr>
      <w:r>
        <w:t>This is a radical rewriting of history, designed to undermine the actual history of the period.  The flashback to Abraham is unrelated to 1208.  The flash ahead to David and Goliath</w:t>
      </w:r>
      <w:r w:rsidR="005A05FE">
        <w:rPr>
          <w:rStyle w:val="EndnoteReference"/>
        </w:rPr>
        <w:endnoteReference w:id="1"/>
      </w:r>
      <w:r>
        <w:t xml:space="preserve"> avoids all the relevant material from the Bible, which must be studied in detail to provide reality for this period.</w:t>
      </w:r>
    </w:p>
    <w:p w:rsidR="00CB5CC1" w:rsidRDefault="00CB5CC1" w:rsidP="00CB5CC1">
      <w:pPr>
        <w:tabs>
          <w:tab w:val="left" w:pos="1080"/>
        </w:tabs>
      </w:pPr>
      <w:r>
        <w:t xml:space="preserve">Several false claims, must be refuted.  The Israelites did not write the Bible.  The Jews did not discover monotheism.  Monotheism does not lead to Yahweh, the God of the Bible; </w:t>
      </w:r>
      <w:r w:rsidR="00007AE1">
        <w:t xml:space="preserve">Monotheism </w:t>
      </w:r>
      <w:r>
        <w:t xml:space="preserve">is not a foundation for Christianity, Islam, </w:t>
      </w:r>
      <w:r w:rsidR="00007AE1">
        <w:t>Judaism, or modern life.  This</w:t>
      </w:r>
      <w:r>
        <w:t xml:space="preserve"> synthesis is not at all new</w:t>
      </w:r>
      <w:r w:rsidR="005A05FE">
        <w:t>: it’s just the same ROT</w:t>
      </w:r>
      <w:r w:rsidR="005A05FE">
        <w:rPr>
          <w:rStyle w:val="EndnoteReference"/>
        </w:rPr>
        <w:endnoteReference w:id="2"/>
      </w:r>
      <w:r w:rsidR="005A05FE">
        <w:t xml:space="preserve"> warmed over</w:t>
      </w:r>
      <w:r>
        <w:t>.</w:t>
      </w:r>
    </w:p>
    <w:p w:rsidR="0054461A" w:rsidRPr="00DC4279" w:rsidRDefault="0054461A" w:rsidP="00DC4279">
      <w:pPr>
        <w:spacing w:before="120"/>
        <w:jc w:val="both"/>
        <w:rPr>
          <w:rFonts w:ascii="Trebuchet MS" w:hAnsi="Trebuchet MS"/>
          <w:b/>
          <w:bCs/>
          <w:i/>
          <w:iCs/>
          <w:sz w:val="36"/>
          <w:szCs w:val="36"/>
          <w:lang w:bidi="en-US"/>
        </w:rPr>
      </w:pPr>
      <w:r w:rsidRPr="00DC4279">
        <w:rPr>
          <w:rFonts w:ascii="Trebuchet MS" w:hAnsi="Trebuchet MS"/>
          <w:b/>
          <w:bCs/>
          <w:i/>
          <w:iCs/>
          <w:sz w:val="36"/>
          <w:szCs w:val="36"/>
          <w:lang w:bidi="en-US"/>
        </w:rPr>
        <w:t>Script</w:t>
      </w:r>
    </w:p>
    <w:p w:rsidR="00F86DE3" w:rsidRPr="00F86DE3" w:rsidRDefault="00F86DE3" w:rsidP="00F86DE3">
      <w:pPr>
        <w:spacing w:before="120" w:after="0"/>
        <w:rPr>
          <w:rFonts w:ascii="Segoe UI Semibold" w:eastAsia="Times New Roman" w:hAnsi="Segoe UI Semibold" w:cs="Segoe UI Semibold"/>
          <w:sz w:val="34"/>
          <w:szCs w:val="34"/>
        </w:rPr>
      </w:pPr>
      <w:r>
        <w:rPr>
          <w:rFonts w:ascii="Segoe UI Semibold" w:eastAsia="Times New Roman" w:hAnsi="Segoe UI Semibold" w:cs="Segoe UI Semibold"/>
          <w:sz w:val="34"/>
          <w:szCs w:val="34"/>
        </w:rPr>
        <w:t>A Biblical Flashback</w:t>
      </w:r>
      <w:r w:rsidR="003C1AA3">
        <w:rPr>
          <w:rFonts w:ascii="Segoe UI Semibold" w:eastAsia="Times New Roman" w:hAnsi="Segoe UI Semibold" w:cs="Segoe UI Semibold"/>
          <w:sz w:val="34"/>
          <w:szCs w:val="34"/>
        </w:rPr>
        <w:t xml:space="preserve"> (time </w:t>
      </w:r>
      <w:r w:rsidR="0038021D">
        <w:rPr>
          <w:rFonts w:ascii="Segoe UI Semibold" w:eastAsia="Times New Roman" w:hAnsi="Segoe UI Semibold" w:cs="Segoe UI Semibold"/>
          <w:sz w:val="34"/>
          <w:szCs w:val="34"/>
        </w:rPr>
        <w:t>6:00</w:t>
      </w:r>
      <w:r w:rsidR="003C1AA3">
        <w:rPr>
          <w:rFonts w:ascii="Segoe UI Semibold" w:eastAsia="Times New Roman" w:hAnsi="Segoe UI Semibold" w:cs="Segoe UI Semibold"/>
          <w:sz w:val="34"/>
          <w:szCs w:val="34"/>
        </w:rPr>
        <w:t>)</w:t>
      </w:r>
    </w:p>
    <w:p w:rsidR="00432718" w:rsidRDefault="00432718" w:rsidP="00432718">
      <w:pPr>
        <w:tabs>
          <w:tab w:val="left" w:pos="1080"/>
        </w:tabs>
      </w:pPr>
      <w:r>
        <w:t>Quo</w:t>
      </w:r>
      <w:r w:rsidR="00007AE1">
        <w:t>t</w:t>
      </w:r>
      <w:r>
        <w:t>e:</w:t>
      </w:r>
    </w:p>
    <w:p w:rsidR="00587D57" w:rsidRDefault="00F86DE3" w:rsidP="0054461A">
      <w:pPr>
        <w:tabs>
          <w:tab w:val="left" w:pos="1080"/>
        </w:tabs>
        <w:ind w:left="720" w:right="720"/>
      </w:pPr>
      <w:r>
        <w:lastRenderedPageBreak/>
        <w:t xml:space="preserve">N: </w:t>
      </w:r>
      <w:r w:rsidR="00BE1890">
        <w:t xml:space="preserve">The ancient Israelites </w:t>
      </w:r>
      <w:r w:rsidR="00C575B4">
        <w:t xml:space="preserve">are best known for </w:t>
      </w:r>
      <w:r w:rsidR="00C63574">
        <w:t xml:space="preserve">familiar </w:t>
      </w:r>
      <w:r w:rsidR="00C575B4">
        <w:t>stories that chronicle their history</w:t>
      </w:r>
      <w:r w:rsidR="00C63574">
        <w:t>, Abraham and Isaac, Moses and the Ten Commandments,</w:t>
      </w:r>
      <w:r w:rsidR="00A41FEB">
        <w:t xml:space="preserve"> </w:t>
      </w:r>
      <w:r w:rsidR="00C63574">
        <w:t>David and Goliath.  It is the ancient Israelites who</w:t>
      </w:r>
      <w:r w:rsidR="00A41FEB">
        <w:t xml:space="preserve"> </w:t>
      </w:r>
      <w:r w:rsidR="00BE1890">
        <w:t>wr</w:t>
      </w:r>
      <w:r w:rsidR="00C63574">
        <w:t>i</w:t>
      </w:r>
      <w:r w:rsidR="00BE1890">
        <w:t>te the Bible.</w:t>
      </w:r>
      <w:r w:rsidR="00BE1890">
        <w:rPr>
          <w:rStyle w:val="EndnoteReference"/>
        </w:rPr>
        <w:endnoteReference w:id="3"/>
      </w:r>
      <w:r w:rsidR="00E15FF4">
        <w:t xml:space="preserve">  </w:t>
      </w:r>
      <w:r w:rsidR="00C63574">
        <w:t xml:space="preserve">Through writing the Hebrew Bible the belief </w:t>
      </w:r>
      <w:r w:rsidR="00C16A42">
        <w:t>of</w:t>
      </w:r>
      <w:r w:rsidR="00C63574">
        <w:t xml:space="preserve"> the ancient Israelites survived to become Judaism,</w:t>
      </w:r>
      <w:r w:rsidR="002D30BA">
        <w:rPr>
          <w:rStyle w:val="EndnoteReference"/>
        </w:rPr>
        <w:endnoteReference w:id="4"/>
      </w:r>
      <w:r w:rsidR="00C63574">
        <w:t xml:space="preserve"> one of the world’s oldest continuously practiced religions.</w:t>
      </w:r>
      <w:r w:rsidR="002D30BA">
        <w:rPr>
          <w:rStyle w:val="EndnoteReference"/>
        </w:rPr>
        <w:endnoteReference w:id="5"/>
      </w:r>
      <w:r w:rsidR="00C63574">
        <w:t xml:space="preserve">  And it i</w:t>
      </w:r>
      <w:r w:rsidR="00C16A42">
        <w:t>s</w:t>
      </w:r>
      <w:r w:rsidR="00C63574">
        <w:t xml:space="preserve"> the Jews who give the world </w:t>
      </w:r>
      <w:r w:rsidR="00C16A42">
        <w:t>an</w:t>
      </w:r>
      <w:r w:rsidR="00C63574">
        <w:t xml:space="preserve"> astounding legacy, the belief in One God.</w:t>
      </w:r>
      <w:r w:rsidR="00F9777B">
        <w:rPr>
          <w:rStyle w:val="EndnoteReference"/>
        </w:rPr>
        <w:endnoteReference w:id="6"/>
      </w:r>
      <w:r w:rsidR="00C63574">
        <w:t xml:space="preserve">  This belief will become the foundation of two </w:t>
      </w:r>
      <w:r w:rsidR="00473C83">
        <w:t xml:space="preserve">other </w:t>
      </w:r>
      <w:r w:rsidR="00C63574">
        <w:t>great</w:t>
      </w:r>
      <w:r w:rsidR="00473C83">
        <w:t xml:space="preserve"> monotheistic religions, Christianity</w:t>
      </w:r>
      <w:r w:rsidR="00C16A42">
        <w:t>,</w:t>
      </w:r>
      <w:r w:rsidR="00473C83">
        <w:t xml:space="preserve"> and Islam.</w:t>
      </w:r>
      <w:r w:rsidR="00575C20">
        <w:rPr>
          <w:rStyle w:val="EndnoteReference"/>
        </w:rPr>
        <w:endnoteReference w:id="7"/>
      </w:r>
      <w:r w:rsidR="00473C83">
        <w:t xml:space="preserve">  Often called the Old Testament to distinguish it from the New Testament which describes the events of early Christi</w:t>
      </w:r>
      <w:r w:rsidR="00F6606A">
        <w:t>anity;</w:t>
      </w:r>
      <w:r w:rsidR="00473C83">
        <w:t xml:space="preserve"> </w:t>
      </w:r>
      <w:r w:rsidR="00F6606A">
        <w:t>t</w:t>
      </w:r>
      <w:r w:rsidR="00473C83">
        <w:t>oday</w:t>
      </w:r>
      <w:r w:rsidR="00E33509">
        <w:t>,</w:t>
      </w:r>
      <w:r w:rsidR="00473C83">
        <w:t xml:space="preserve"> the Hebrew Bible</w:t>
      </w:r>
      <w:r w:rsidR="00E33509">
        <w:t>,</w:t>
      </w:r>
      <w:r w:rsidR="00473C83">
        <w:t xml:space="preserve"> and the belief in one God are woven into the very fabric of world culture.</w:t>
      </w:r>
      <w:r w:rsidR="007674F9">
        <w:rPr>
          <w:rStyle w:val="EndnoteReference"/>
        </w:rPr>
        <w:endnoteReference w:id="8"/>
      </w:r>
      <w:r w:rsidR="00E15FF4">
        <w:t xml:space="preserve">  </w:t>
      </w:r>
      <w:r w:rsidR="00C16A42">
        <w:t>But in</w:t>
      </w:r>
      <w:r w:rsidR="00473C83">
        <w:t xml:space="preserve"> </w:t>
      </w:r>
      <w:r w:rsidR="00BE1890">
        <w:t xml:space="preserve">ancient </w:t>
      </w:r>
      <w:r w:rsidR="00473C83">
        <w:t xml:space="preserve">times all peoples, from the </w:t>
      </w:r>
      <w:r w:rsidR="00BE1890">
        <w:t xml:space="preserve">Egyptians, </w:t>
      </w:r>
      <w:r w:rsidR="00473C83">
        <w:t xml:space="preserve">to the </w:t>
      </w:r>
      <w:r w:rsidR="00BE1890">
        <w:t xml:space="preserve">Greeks, </w:t>
      </w:r>
      <w:r w:rsidR="00473C83">
        <w:t>to the Babylonians,</w:t>
      </w:r>
      <w:r w:rsidR="00BE1890">
        <w:t xml:space="preserve"> worshipped </w:t>
      </w:r>
      <w:r w:rsidR="00797603">
        <w:t>many gods, usually in the form o</w:t>
      </w:r>
      <w:r w:rsidR="00BE1890">
        <w:t>f idols</w:t>
      </w:r>
      <w:r w:rsidR="00D516D0">
        <w:t>.</w:t>
      </w:r>
      <w:r w:rsidR="00D516D0">
        <w:rPr>
          <w:rStyle w:val="EndnoteReference"/>
        </w:rPr>
        <w:endnoteReference w:id="9"/>
      </w:r>
      <w:r w:rsidR="00D516D0">
        <w:t xml:space="preserve"> </w:t>
      </w:r>
      <w:r w:rsidR="00BE1890">
        <w:t xml:space="preserve"> How did the Israelites</w:t>
      </w:r>
      <w:r w:rsidR="00473C83">
        <w:t>, alone</w:t>
      </w:r>
      <w:r w:rsidR="00BE1890">
        <w:t xml:space="preserve"> among ancient peoples, discover the concept of One God?  How did they come up with an idea that </w:t>
      </w:r>
      <w:r w:rsidR="00473C83">
        <w:t xml:space="preserve">so </w:t>
      </w:r>
      <w:r w:rsidR="00BE1890">
        <w:t>profoundly changed the world?</w:t>
      </w:r>
      <w:r w:rsidR="00BE1890">
        <w:rPr>
          <w:rStyle w:val="EndnoteReference"/>
        </w:rPr>
        <w:endnoteReference w:id="10"/>
      </w:r>
      <w:r w:rsidR="00B926EB">
        <w:t xml:space="preserve">  </w:t>
      </w:r>
      <w:r w:rsidR="00473C83">
        <w:t>Now, archaeologists and biblical scholars are arriving at a</w:t>
      </w:r>
      <w:r w:rsidR="00B926EB">
        <w:t xml:space="preserve"> new synthesis</w:t>
      </w:r>
      <w:r w:rsidR="00473C83">
        <w:t xml:space="preserve"> that promises to reveal </w:t>
      </w:r>
      <w:r w:rsidR="00C16A42">
        <w:t xml:space="preserve">not only </w:t>
      </w:r>
      <w:r w:rsidR="00532C21">
        <w:t xml:space="preserve">fresh </w:t>
      </w:r>
      <w:r w:rsidR="00473C83">
        <w:t>historical</w:t>
      </w:r>
      <w:r w:rsidR="00B926EB">
        <w:t xml:space="preserve"> </w:t>
      </w:r>
      <w:r w:rsidR="00473C83">
        <w:t>insights, but a deeper meaning of what the authors of the Bible wanted to convey.  They start by digging into the earth and the Bible.</w:t>
      </w:r>
    </w:p>
    <w:p w:rsidR="00E15FF4" w:rsidRDefault="00473C83" w:rsidP="0054461A">
      <w:pPr>
        <w:tabs>
          <w:tab w:val="left" w:pos="1080"/>
        </w:tabs>
        <w:ind w:left="720" w:right="720"/>
      </w:pPr>
      <w:r>
        <w:t xml:space="preserve">Dever: </w:t>
      </w:r>
      <w:r w:rsidR="00B926EB">
        <w:t xml:space="preserve">You cannot afford to ignore </w:t>
      </w:r>
      <w:r>
        <w:t>b</w:t>
      </w:r>
      <w:r w:rsidR="00B926EB">
        <w:t>ibl</w:t>
      </w:r>
      <w:r>
        <w:t xml:space="preserve">ical text, especially if you can isolate </w:t>
      </w:r>
      <w:r w:rsidR="00E15FF4">
        <w:t xml:space="preserve">it from </w:t>
      </w:r>
      <w:r w:rsidR="00F6606A">
        <w:t>the</w:t>
      </w:r>
      <w:r>
        <w:t xml:space="preserve"> kernel of truth behind </w:t>
      </w:r>
      <w:r w:rsidR="000B514A">
        <w:t>these stories, and then you have the archaeological data</w:t>
      </w:r>
      <w:r w:rsidR="00B926EB">
        <w:t>.</w:t>
      </w:r>
      <w:r w:rsidR="0014730A">
        <w:rPr>
          <w:rStyle w:val="EndnoteReference"/>
        </w:rPr>
        <w:endnoteReference w:id="11"/>
      </w:r>
      <w:r w:rsidR="000B514A">
        <w:t xml:space="preserve">  Now, what happens when text and artifacts seem to point in the same direction?  Then I think we are on v</w:t>
      </w:r>
      <w:r w:rsidR="00E15FF4">
        <w:t>ery sound ground historically.</w:t>
      </w:r>
    </w:p>
    <w:p w:rsidR="00DC4279" w:rsidRDefault="00DC4279" w:rsidP="00DC4279">
      <w:pPr>
        <w:tabs>
          <w:tab w:val="left" w:pos="1080"/>
        </w:tabs>
      </w:pPr>
      <w:r>
        <w:t>Unquote.</w:t>
      </w:r>
    </w:p>
    <w:p w:rsidR="00DE78E0" w:rsidRPr="00DC4279" w:rsidRDefault="00DC4279" w:rsidP="00DC4279">
      <w:pPr>
        <w:spacing w:before="120"/>
        <w:jc w:val="both"/>
        <w:rPr>
          <w:rFonts w:ascii="Trebuchet MS" w:hAnsi="Trebuchet MS"/>
          <w:b/>
          <w:bCs/>
          <w:i/>
          <w:iCs/>
          <w:sz w:val="36"/>
          <w:szCs w:val="36"/>
          <w:lang w:bidi="en-US"/>
        </w:rPr>
      </w:pPr>
      <w:r>
        <w:rPr>
          <w:rFonts w:ascii="Trebuchet MS" w:hAnsi="Trebuchet MS"/>
          <w:b/>
          <w:bCs/>
          <w:i/>
          <w:iCs/>
          <w:sz w:val="36"/>
          <w:szCs w:val="36"/>
          <w:lang w:bidi="en-US"/>
        </w:rPr>
        <w:t>Flashback</w:t>
      </w:r>
    </w:p>
    <w:p w:rsidR="0054461A" w:rsidRDefault="00DE78E0" w:rsidP="00DE78E0">
      <w:pPr>
        <w:tabs>
          <w:tab w:val="left" w:pos="1080"/>
        </w:tabs>
      </w:pPr>
      <w:r>
        <w:t>Having begun with the Merneptah Stele dated at 1208, we are now hopelessly lost with a</w:t>
      </w:r>
      <w:r w:rsidR="00F53263">
        <w:t>n irrelevant</w:t>
      </w:r>
      <w:r>
        <w:t xml:space="preserve"> flashback to Abraham and Isaac, </w:t>
      </w:r>
      <w:r>
        <w:lastRenderedPageBreak/>
        <w:t>Moses and the Ten Commandments</w:t>
      </w:r>
      <w:r w:rsidR="00F53263">
        <w:t>.  The only function of this flashback is to cast doubt on the historicity of Genesis</w:t>
      </w:r>
      <w:r w:rsidR="00C970AA">
        <w:t>, and by association cast further doubt on the historicity of the Judges period</w:t>
      </w:r>
      <w:r w:rsidR="00F53263">
        <w:t>.</w:t>
      </w:r>
      <w:r w:rsidR="00C970AA">
        <w:rPr>
          <w:rStyle w:val="EndnoteReference"/>
        </w:rPr>
        <w:endnoteReference w:id="12"/>
      </w:r>
    </w:p>
    <w:p w:rsidR="00DC4279" w:rsidRPr="00DC4279" w:rsidRDefault="00DC4279" w:rsidP="00DC4279">
      <w:pPr>
        <w:spacing w:before="120"/>
        <w:jc w:val="both"/>
        <w:rPr>
          <w:rFonts w:ascii="Trebuchet MS" w:hAnsi="Trebuchet MS"/>
          <w:b/>
          <w:bCs/>
          <w:i/>
          <w:iCs/>
          <w:sz w:val="36"/>
          <w:szCs w:val="36"/>
          <w:lang w:bidi="en-US"/>
        </w:rPr>
      </w:pPr>
      <w:r>
        <w:rPr>
          <w:rFonts w:ascii="Trebuchet MS" w:hAnsi="Trebuchet MS"/>
          <w:b/>
          <w:bCs/>
          <w:i/>
          <w:iCs/>
          <w:sz w:val="36"/>
          <w:szCs w:val="36"/>
          <w:lang w:bidi="en-US"/>
        </w:rPr>
        <w:t>Target</w:t>
      </w:r>
      <w:r w:rsidR="00DC79E4">
        <w:rPr>
          <w:rFonts w:ascii="Trebuchet MS" w:hAnsi="Trebuchet MS"/>
          <w:b/>
          <w:bCs/>
          <w:i/>
          <w:iCs/>
          <w:sz w:val="36"/>
          <w:szCs w:val="36"/>
          <w:lang w:bidi="en-US"/>
        </w:rPr>
        <w:t>s</w:t>
      </w:r>
    </w:p>
    <w:p w:rsidR="003F0D7E" w:rsidRDefault="00F53263" w:rsidP="00B526DB">
      <w:pPr>
        <w:tabs>
          <w:tab w:val="left" w:pos="1080"/>
        </w:tabs>
      </w:pPr>
      <w:r>
        <w:t xml:space="preserve">Given the </w:t>
      </w:r>
      <w:r w:rsidR="00DC4279">
        <w:t>Merneptah Stele</w:t>
      </w:r>
      <w:r w:rsidR="003F0D7E">
        <w:t xml:space="preserve">, with its </w:t>
      </w:r>
      <w:r>
        <w:t xml:space="preserve">date of 1208 </w:t>
      </w:r>
      <w:r w:rsidR="00AB2D3A">
        <w:t xml:space="preserve">BC </w:t>
      </w:r>
      <w:r>
        <w:t xml:space="preserve">as a </w:t>
      </w:r>
      <w:r w:rsidR="00DC79E4">
        <w:t xml:space="preserve">first </w:t>
      </w:r>
      <w:r>
        <w:t xml:space="preserve">target, we </w:t>
      </w:r>
      <w:r w:rsidR="003F0D7E">
        <w:t>should be looking for biblical relationships for that era.  If the Amarna letters (1350-1330 BC) are included, we can expand this target to a range of 1350-1200 BC.  Additional evidence could indicate a</w:t>
      </w:r>
      <w:r w:rsidR="0000005F">
        <w:t>n even broader range of 1354</w:t>
      </w:r>
      <w:r w:rsidR="003F0D7E">
        <w:t>-1010 BC.  No matter how this range is defined it applies specifically to Judges, Ruth, 1 and 2 Samuel.  The five books of Torah are simply irrelevant to any such discussion, even if they are shredded into four threads.</w:t>
      </w:r>
    </w:p>
    <w:p w:rsidR="00435439" w:rsidRDefault="003F0D7E" w:rsidP="00435439">
      <w:pPr>
        <w:tabs>
          <w:tab w:val="left" w:pos="1080"/>
        </w:tabs>
      </w:pPr>
      <w:r>
        <w:t>How do we find such target dates from the Bible</w:t>
      </w:r>
      <w:r w:rsidR="00435439">
        <w:t>?  We begin by calculating a starting point (</w:t>
      </w:r>
      <w:r w:rsidR="00F53263">
        <w:t>a terminus a q</w:t>
      </w:r>
      <w:r w:rsidR="00F53263" w:rsidRPr="00F53263">
        <w:t>uo</w:t>
      </w:r>
      <w:r w:rsidR="00435439">
        <w:t>)</w:t>
      </w:r>
      <w:r w:rsidR="00F53263">
        <w:t xml:space="preserve"> for the Exodus at either </w:t>
      </w:r>
      <w:r w:rsidR="00AB2D3A">
        <w:t xml:space="preserve">1406 BC (LXX) </w:t>
      </w:r>
      <w:r w:rsidR="00F53263">
        <w:t xml:space="preserve">or </w:t>
      </w:r>
      <w:r w:rsidR="00AB2D3A">
        <w:t>1446 BC (MT)</w:t>
      </w:r>
      <w:r w:rsidR="00F53263">
        <w:t xml:space="preserve">.  The difference in years </w:t>
      </w:r>
      <w:r w:rsidR="006921D9">
        <w:t>is</w:t>
      </w:r>
      <w:r w:rsidR="00F53263">
        <w:t xml:space="preserve"> caused by a text variation between the </w:t>
      </w:r>
      <w:r w:rsidR="00437AB6">
        <w:t>Septuagint (LXX)</w:t>
      </w:r>
      <w:r w:rsidR="00F53263">
        <w:t xml:space="preserve"> and the</w:t>
      </w:r>
      <w:r w:rsidR="004B0E10">
        <w:t xml:space="preserve"> Masoretic Text (MT)</w:t>
      </w:r>
      <w:r w:rsidR="00F53263">
        <w:t xml:space="preserve">.  </w:t>
      </w:r>
      <w:r w:rsidR="00435439">
        <w:t>If we take 970 BC as the year of Solomon’s ascension; then our ending point (terminus a</w:t>
      </w:r>
      <w:r w:rsidR="00435439" w:rsidRPr="0096303C">
        <w:t xml:space="preserve">d </w:t>
      </w:r>
      <w:r w:rsidR="00435439">
        <w:t>q</w:t>
      </w:r>
      <w:r w:rsidR="00435439" w:rsidRPr="0096303C">
        <w:t>uem</w:t>
      </w:r>
      <w:r w:rsidR="00435439">
        <w:t>) would be 966 BC, the fourth year of Solomon’s reign.</w:t>
      </w:r>
      <w:r w:rsidR="00AE3357">
        <w:rPr>
          <w:rStyle w:val="EndnoteReference"/>
        </w:rPr>
        <w:endnoteReference w:id="13"/>
      </w:r>
      <w:r w:rsidR="00435439">
        <w:t xml:space="preserve">  We then retrieve the evidence from 1 Kings 6:1, where LXX has 440 years; but MT has 480.</w:t>
      </w:r>
      <w:r w:rsidR="00435439">
        <w:rPr>
          <w:rStyle w:val="EndnoteReference"/>
        </w:rPr>
        <w:endnoteReference w:id="14"/>
      </w:r>
      <w:r w:rsidR="00274EE5">
        <w:t xml:space="preserve">  These numbers are simply added to our ending point of 966 BC to give us a choice of either 1406 BC (966 + 440), or 1446 BC (966 + 480) for the starting point, the Exodus.  We will have to work a lot harder to determine which of these is correct.  Our conclusion, after years of toil is that 1406 BC is the correct date for the Exodus.</w:t>
      </w:r>
      <w:r w:rsidR="00B56328">
        <w:t xml:space="preserve">  You are free to make up your own mind.</w:t>
      </w:r>
    </w:p>
    <w:p w:rsidR="00274EE5" w:rsidRDefault="00274EE5" w:rsidP="00274EE5">
      <w:pPr>
        <w:tabs>
          <w:tab w:val="left" w:pos="1080"/>
        </w:tabs>
      </w:pPr>
      <w:r>
        <w:t xml:space="preserve">Moses struggled together with the Israelites in the wilderness for 40 years.  </w:t>
      </w:r>
      <w:r w:rsidR="00444AEA">
        <w:t>When 40 years is allowed for th</w:t>
      </w:r>
      <w:r>
        <w:t>es</w:t>
      </w:r>
      <w:r w:rsidR="00444AEA">
        <w:t>e Wilderness Wanderings</w:t>
      </w:r>
      <w:r w:rsidR="0000005F">
        <w:t>; as well as 2 years for the Transjordan conquest</w:t>
      </w:r>
      <w:r w:rsidR="00444AEA">
        <w:t xml:space="preserve"> we estimate the date for Joshua crossing the Jordan at either </w:t>
      </w:r>
      <w:r w:rsidR="0000005F">
        <w:t>1364</w:t>
      </w:r>
      <w:r w:rsidR="00AB2D3A">
        <w:t xml:space="preserve"> </w:t>
      </w:r>
      <w:r>
        <w:t>(1406 – 40</w:t>
      </w:r>
      <w:r w:rsidR="0000005F">
        <w:t xml:space="preserve"> – 2</w:t>
      </w:r>
      <w:r>
        <w:t xml:space="preserve">) </w:t>
      </w:r>
      <w:r w:rsidR="00444AEA">
        <w:t xml:space="preserve">or </w:t>
      </w:r>
      <w:r w:rsidR="0000005F">
        <w:t>1404</w:t>
      </w:r>
      <w:r w:rsidR="00AB2D3A">
        <w:t xml:space="preserve"> </w:t>
      </w:r>
      <w:r>
        <w:t>(1446 – 40</w:t>
      </w:r>
      <w:r w:rsidR="0000005F">
        <w:t xml:space="preserve"> – 2</w:t>
      </w:r>
      <w:r>
        <w:t xml:space="preserve">) </w:t>
      </w:r>
      <w:r w:rsidR="00AB2D3A">
        <w:t>BC</w:t>
      </w:r>
      <w:r w:rsidR="00B56328">
        <w:t xml:space="preserve">: again, our conclusion </w:t>
      </w:r>
      <w:r w:rsidR="00DC79E4">
        <w:t>favors</w:t>
      </w:r>
      <w:r w:rsidR="0000005F">
        <w:t xml:space="preserve"> 1364</w:t>
      </w:r>
      <w:r w:rsidR="00B56328">
        <w:t xml:space="preserve"> BC.  </w:t>
      </w:r>
      <w:r>
        <w:t xml:space="preserve">Since Joshua was very old, we allow 10 more years for his service </w:t>
      </w:r>
      <w:r w:rsidR="00B56328">
        <w:t>after</w:t>
      </w:r>
      <w:r w:rsidR="0000005F">
        <w:t xml:space="preserve"> Moses’ death and arrive at 1354</w:t>
      </w:r>
      <w:r w:rsidR="00B56328">
        <w:t xml:space="preserve"> (136</w:t>
      </w:r>
      <w:r w:rsidR="0000005F">
        <w:t>4 – 10), or 1394 (1404</w:t>
      </w:r>
      <w:r w:rsidR="00B56328">
        <w:t xml:space="preserve">– 10) BC as choices.  We </w:t>
      </w:r>
      <w:r w:rsidR="0000005F">
        <w:lastRenderedPageBreak/>
        <w:t>tentatively concluded with 1354</w:t>
      </w:r>
      <w:r w:rsidR="00B56328">
        <w:t xml:space="preserve"> </w:t>
      </w:r>
      <w:r w:rsidR="00DC79E4">
        <w:t xml:space="preserve">BC </w:t>
      </w:r>
      <w:r w:rsidR="00B56328">
        <w:t xml:space="preserve">which is our date for the start of </w:t>
      </w:r>
      <w:r w:rsidR="00DC79E4">
        <w:t xml:space="preserve">the </w:t>
      </w:r>
      <w:r w:rsidR="00B56328">
        <w:t>Judges</w:t>
      </w:r>
      <w:r w:rsidR="00DC79E4">
        <w:t xml:space="preserve"> period</w:t>
      </w:r>
      <w:r w:rsidR="00B56328">
        <w:t>.</w:t>
      </w:r>
    </w:p>
    <w:p w:rsidR="00DC79E4" w:rsidRPr="00DC79E4" w:rsidRDefault="00DC79E4" w:rsidP="00DC79E4">
      <w:pPr>
        <w:spacing w:before="120"/>
        <w:jc w:val="both"/>
        <w:rPr>
          <w:rFonts w:ascii="Trebuchet MS" w:hAnsi="Trebuchet MS"/>
          <w:b/>
          <w:bCs/>
          <w:i/>
          <w:iCs/>
          <w:sz w:val="36"/>
          <w:szCs w:val="36"/>
          <w:lang w:bidi="en-US"/>
        </w:rPr>
      </w:pPr>
      <w:r>
        <w:rPr>
          <w:rFonts w:ascii="Trebuchet MS" w:hAnsi="Trebuchet MS"/>
          <w:b/>
          <w:bCs/>
          <w:i/>
          <w:iCs/>
          <w:sz w:val="36"/>
          <w:szCs w:val="36"/>
          <w:lang w:bidi="en-US"/>
        </w:rPr>
        <w:t>Flash Ahead</w:t>
      </w:r>
    </w:p>
    <w:p w:rsidR="00B56328" w:rsidRDefault="00B56328" w:rsidP="00274EE5">
      <w:pPr>
        <w:tabs>
          <w:tab w:val="left" w:pos="1080"/>
        </w:tabs>
      </w:pPr>
      <w:r>
        <w:t>Returning to 970 BC as the year of Solomon’s ascension, we add 40 years to calculate David’s ascension in 1010 BC as king of Judea:</w:t>
      </w:r>
      <w:r w:rsidR="00AE3357">
        <w:rPr>
          <w:rStyle w:val="EndnoteReference"/>
        </w:rPr>
        <w:endnoteReference w:id="15"/>
      </w:r>
      <w:r>
        <w:t xml:space="preserve"> thus 1010 BC marks the end of the period of Judges.</w:t>
      </w:r>
      <w:r w:rsidR="00AE3357">
        <w:rPr>
          <w:rStyle w:val="EndnoteReference"/>
        </w:rPr>
        <w:endnoteReference w:id="16"/>
      </w:r>
      <w:r>
        <w:t xml:space="preserve">  Because David struggled to unite the Joseph tribes with the Judah tribes, he did not </w:t>
      </w:r>
      <w:r w:rsidR="00AE3357">
        <w:t>ascend</w:t>
      </w:r>
      <w:r>
        <w:t xml:space="preserve"> to the </w:t>
      </w:r>
      <w:r w:rsidR="00B37479">
        <w:t>united-</w:t>
      </w:r>
      <w:r w:rsidR="00AE3357">
        <w:t xml:space="preserve">kingdom </w:t>
      </w:r>
      <w:r>
        <w:t>monarchy until 7 years, 6 months later</w:t>
      </w:r>
      <w:r w:rsidR="00AE3357">
        <w:t>,</w:t>
      </w:r>
      <w:r>
        <w:t xml:space="preserve"> 1003/02 BC.</w:t>
      </w:r>
    </w:p>
    <w:p w:rsidR="00DC79E4" w:rsidRPr="00DC79E4" w:rsidRDefault="00DC79E4" w:rsidP="00DC79E4">
      <w:pPr>
        <w:spacing w:before="120"/>
        <w:jc w:val="both"/>
        <w:rPr>
          <w:rFonts w:ascii="Trebuchet MS" w:hAnsi="Trebuchet MS"/>
          <w:b/>
          <w:bCs/>
          <w:i/>
          <w:iCs/>
          <w:sz w:val="36"/>
          <w:szCs w:val="36"/>
          <w:lang w:bidi="en-US"/>
        </w:rPr>
      </w:pPr>
      <w:r>
        <w:rPr>
          <w:rFonts w:ascii="Trebuchet MS" w:hAnsi="Trebuchet MS"/>
          <w:b/>
          <w:bCs/>
          <w:i/>
          <w:iCs/>
          <w:sz w:val="36"/>
          <w:szCs w:val="36"/>
          <w:lang w:bidi="en-US"/>
        </w:rPr>
        <w:t>Judges</w:t>
      </w:r>
    </w:p>
    <w:p w:rsidR="0054461A" w:rsidRDefault="00DC79E4" w:rsidP="00444AEA">
      <w:pPr>
        <w:tabs>
          <w:tab w:val="left" w:pos="1080"/>
        </w:tabs>
      </w:pPr>
      <w:r>
        <w:t xml:space="preserve">At last, we have arrived at a firm definition for the </w:t>
      </w:r>
      <w:r w:rsidR="00931562">
        <w:t>period of Judges;</w:t>
      </w:r>
      <w:r w:rsidR="003610CB">
        <w:t xml:space="preserve"> </w:t>
      </w:r>
      <w:r w:rsidR="00444AEA">
        <w:t xml:space="preserve">it is the period from </w:t>
      </w:r>
      <w:r w:rsidR="00CE69C6">
        <w:t>135</w:t>
      </w:r>
      <w:r w:rsidR="00612D5B">
        <w:t>4</w:t>
      </w:r>
      <w:r w:rsidR="00AE3357">
        <w:t>-</w:t>
      </w:r>
      <w:r w:rsidR="00444AEA">
        <w:t>1010</w:t>
      </w:r>
      <w:r w:rsidR="00931562">
        <w:t xml:space="preserve"> BC:</w:t>
      </w:r>
      <w:r w:rsidR="00444AEA">
        <w:t xml:space="preserve"> </w:t>
      </w:r>
      <w:r w:rsidR="00AE3357">
        <w:t xml:space="preserve">which is our range of interest, </w:t>
      </w:r>
      <w:r w:rsidR="00444AEA">
        <w:t xml:space="preserve">which </w:t>
      </w:r>
      <w:r w:rsidR="00612D5B">
        <w:t>wraps</w:t>
      </w:r>
      <w:r w:rsidR="00444AEA">
        <w:t xml:space="preserve"> around our target date of 1208</w:t>
      </w:r>
      <w:r w:rsidR="00AE3357">
        <w:t xml:space="preserve"> BC</w:t>
      </w:r>
      <w:r w:rsidR="00444AEA">
        <w:t xml:space="preserve">, </w:t>
      </w:r>
      <w:r w:rsidR="00AE3357">
        <w:t xml:space="preserve">which also embraces the 1350-1330 BC dates for the Amarna </w:t>
      </w:r>
      <w:r w:rsidR="00B37479">
        <w:t>letters</w:t>
      </w:r>
      <w:r w:rsidR="00AE3357">
        <w:t xml:space="preserve">.  Genesis and </w:t>
      </w:r>
      <w:r w:rsidR="00444AEA">
        <w:t>anything else in Torah</w:t>
      </w:r>
      <w:r w:rsidR="00B37479">
        <w:t xml:space="preserve"> is excluded by this date range</w:t>
      </w:r>
      <w:r w:rsidR="00444AEA">
        <w:t>.  Torah is simply ir</w:t>
      </w:r>
      <w:r w:rsidR="00557B67">
        <w:t>relevant to the topic at hand.</w:t>
      </w:r>
      <w:r w:rsidR="00557B67">
        <w:rPr>
          <w:rStyle w:val="EndnoteReference"/>
        </w:rPr>
        <w:endnoteReference w:id="17"/>
      </w:r>
      <w:r w:rsidR="00557B67">
        <w:t xml:space="preserve">  </w:t>
      </w:r>
      <w:r w:rsidR="00444AEA">
        <w:t>The information sources for this period are Joshua, Judges, Ruth, and 1 Samuel</w:t>
      </w:r>
      <w:r w:rsidR="00000DC2">
        <w:t xml:space="preserve">, together with the first four chapters of 2 Samuel, </w:t>
      </w:r>
      <w:r w:rsidR="003610CB">
        <w:t xml:space="preserve">a few </w:t>
      </w:r>
      <w:r w:rsidR="00000DC2">
        <w:t xml:space="preserve">Psalms, and </w:t>
      </w:r>
      <w:r w:rsidR="003610CB">
        <w:t xml:space="preserve">pieces of </w:t>
      </w:r>
      <w:r w:rsidR="00000DC2">
        <w:t>1 Chronicles</w:t>
      </w:r>
      <w:r w:rsidR="00E139F9">
        <w:t>.</w:t>
      </w:r>
      <w:r w:rsidR="003610CB">
        <w:rPr>
          <w:rStyle w:val="EndnoteReference"/>
        </w:rPr>
        <w:endnoteReference w:id="18"/>
      </w:r>
      <w:r w:rsidR="00000DC2">
        <w:t xml:space="preserve">  This is what should have been the subject matter for any flashback </w:t>
      </w:r>
      <w:r w:rsidR="00815AC9">
        <w:t xml:space="preserve">or flash ahead </w:t>
      </w:r>
      <w:r w:rsidR="00000DC2">
        <w:t>related to the Merneptah Stele.</w:t>
      </w:r>
    </w:p>
    <w:p w:rsidR="00E139F9" w:rsidRPr="00E139F9" w:rsidRDefault="00E139F9" w:rsidP="00E139F9">
      <w:pPr>
        <w:spacing w:before="120"/>
        <w:jc w:val="both"/>
        <w:rPr>
          <w:rFonts w:ascii="Trebuchet MS" w:hAnsi="Trebuchet MS"/>
          <w:b/>
          <w:bCs/>
          <w:i/>
          <w:iCs/>
          <w:sz w:val="36"/>
          <w:szCs w:val="36"/>
          <w:lang w:bidi="en-US"/>
        </w:rPr>
      </w:pPr>
      <w:r>
        <w:rPr>
          <w:rFonts w:ascii="Trebuchet MS" w:hAnsi="Trebuchet MS"/>
          <w:b/>
          <w:bCs/>
          <w:i/>
          <w:iCs/>
          <w:sz w:val="36"/>
          <w:szCs w:val="36"/>
          <w:lang w:bidi="en-US"/>
        </w:rPr>
        <w:t>Joshua</w:t>
      </w:r>
    </w:p>
    <w:p w:rsidR="00E139F9" w:rsidRDefault="00E139F9" w:rsidP="004E5E7A">
      <w:pPr>
        <w:tabs>
          <w:tab w:val="left" w:pos="1080"/>
        </w:tabs>
      </w:pPr>
      <w:r>
        <w:t>It is necessary for us to examine Joshua’s prelude to Judges: for it is frequently taught that Joshua led three blistering attacks against the Jebusites and Canaanites, wiping them out; so that Israel took possession of Cisjordan without a fuss.  This is not an accurate representation of Joshua and it leaves us with an equally imprecise picture of the Judges period history.</w:t>
      </w:r>
    </w:p>
    <w:p w:rsidR="004E5E7A" w:rsidRDefault="00612D5B" w:rsidP="004E5E7A">
      <w:pPr>
        <w:tabs>
          <w:tab w:val="left" w:pos="1080"/>
        </w:tabs>
      </w:pPr>
      <w:r>
        <w:t>By 1364</w:t>
      </w:r>
      <w:r w:rsidR="004E5E7A">
        <w:t xml:space="preserve"> the Israelites had conquered </w:t>
      </w:r>
      <w:r w:rsidR="00E139F9">
        <w:t xml:space="preserve">a few </w:t>
      </w:r>
      <w:r w:rsidR="004E5E7A">
        <w:t xml:space="preserve">nations east of the Jordan, and no doubt left woman, children, and non-combatant men behind in occupation of the newly gained </w:t>
      </w:r>
      <w:r w:rsidR="00B526DB">
        <w:t xml:space="preserve">east bank </w:t>
      </w:r>
      <w:r w:rsidR="004E5E7A">
        <w:t>territories.</w:t>
      </w:r>
    </w:p>
    <w:p w:rsidR="00D46BEF" w:rsidRDefault="00000DC2" w:rsidP="00AD76EB">
      <w:pPr>
        <w:tabs>
          <w:tab w:val="left" w:pos="1080"/>
        </w:tabs>
      </w:pPr>
      <w:r>
        <w:t xml:space="preserve">What happened </w:t>
      </w:r>
      <w:r w:rsidR="004E5E7A">
        <w:t xml:space="preserve">next?  What happened </w:t>
      </w:r>
      <w:r w:rsidR="004C0852">
        <w:t>before the start of</w:t>
      </w:r>
      <w:r>
        <w:t xml:space="preserve"> this period?  Joshua crossed the Jordan with the Israelites.</w:t>
      </w:r>
      <w:r w:rsidR="004E5E7A">
        <w:rPr>
          <w:rStyle w:val="EndnoteReference"/>
        </w:rPr>
        <w:endnoteReference w:id="19"/>
      </w:r>
      <w:r>
        <w:t xml:space="preserve">  Yahweh waged war </w:t>
      </w:r>
      <w:r>
        <w:lastRenderedPageBreak/>
        <w:t>against Jericho.</w:t>
      </w:r>
      <w:r w:rsidR="004E5E7A">
        <w:rPr>
          <w:rStyle w:val="EndnoteReference"/>
        </w:rPr>
        <w:endnoteReference w:id="20"/>
      </w:r>
      <w:r>
        <w:t xml:space="preserve">  Contrary to the popular spiritual, it was not “Joshua fit the battle of Jericho.”</w:t>
      </w:r>
      <w:r w:rsidR="004E5E7A">
        <w:t xml:space="preserve">  Then Joshua embarked upon two </w:t>
      </w:r>
      <w:r w:rsidR="00612D5B">
        <w:t>battles</w:t>
      </w:r>
      <w:r w:rsidR="004E5E7A">
        <w:t xml:space="preserve"> against Ai and Bethel, during the first of which</w:t>
      </w:r>
      <w:r w:rsidR="00311B9B">
        <w:t>, Israel was defeated.</w:t>
      </w:r>
      <w:r w:rsidR="00311B9B">
        <w:rPr>
          <w:rStyle w:val="EndnoteReference"/>
        </w:rPr>
        <w:endnoteReference w:id="21"/>
      </w:r>
    </w:p>
    <w:p w:rsidR="0054461A" w:rsidRDefault="00311B9B" w:rsidP="00D46BEF">
      <w:pPr>
        <w:tabs>
          <w:tab w:val="left" w:pos="1080"/>
        </w:tabs>
      </w:pPr>
      <w:r>
        <w:t>Finally</w:t>
      </w:r>
      <w:r w:rsidR="00D46BEF">
        <w:t>,</w:t>
      </w:r>
      <w:r>
        <w:t xml:space="preserve"> Joshua </w:t>
      </w:r>
      <w:r w:rsidR="004D02E4">
        <w:t>participated in</w:t>
      </w:r>
      <w:r>
        <w:t xml:space="preserve"> </w:t>
      </w:r>
      <w:r w:rsidR="004C0852">
        <w:t xml:space="preserve">three </w:t>
      </w:r>
      <w:r>
        <w:t xml:space="preserve">major </w:t>
      </w:r>
      <w:r w:rsidR="004C0852">
        <w:t>events</w:t>
      </w:r>
      <w:r w:rsidR="00D46BEF">
        <w:t xml:space="preserve">. </w:t>
      </w:r>
      <w:r>
        <w:t xml:space="preserve"> </w:t>
      </w:r>
      <w:r w:rsidR="00D46BEF">
        <w:t>F</w:t>
      </w:r>
      <w:r>
        <w:t>irst</w:t>
      </w:r>
      <w:r w:rsidR="004C0852">
        <w:t>,</w:t>
      </w:r>
      <w:r>
        <w:t xml:space="preserve"> </w:t>
      </w:r>
      <w:r w:rsidR="006C0180">
        <w:t xml:space="preserve">Joshua led </w:t>
      </w:r>
      <w:r w:rsidR="004C0852">
        <w:t xml:space="preserve">a period of worship near </w:t>
      </w:r>
      <w:r>
        <w:t>the ce</w:t>
      </w:r>
      <w:r w:rsidR="004C0852">
        <w:t>nter of the Holy Land</w:t>
      </w:r>
      <w:r w:rsidR="006C0180">
        <w:t>;</w:t>
      </w:r>
      <w:r w:rsidR="004C0852">
        <w:t xml:space="preserve"> </w:t>
      </w:r>
      <w:r w:rsidR="00D46BEF">
        <w:t>after</w:t>
      </w:r>
      <w:r w:rsidR="004C0852">
        <w:t xml:space="preserve"> which the </w:t>
      </w:r>
      <w:r w:rsidR="00D46BEF">
        <w:t>Gibeonites were converted: this conversion reveals the Divine plan for the “conquest” of Cisjordan, not by war against unbelief; rather by conversion to belief.  The Gibeonites are so desperate to get close to this God of Israel, that they willingly sacrifice everything to do so: slavery to God is better that pagan freedom, eventually they became true Israelites.  S</w:t>
      </w:r>
      <w:r w:rsidR="00AD76EB">
        <w:t>econd</w:t>
      </w:r>
      <w:r w:rsidR="004C0852">
        <w:t xml:space="preserve">, </w:t>
      </w:r>
      <w:r w:rsidR="006C0180">
        <w:t>Joshua repulsed</w:t>
      </w:r>
      <w:r w:rsidR="004C0852">
        <w:t xml:space="preserve"> </w:t>
      </w:r>
      <w:r w:rsidR="0050376B">
        <w:t>the</w:t>
      </w:r>
      <w:r w:rsidR="004C0852">
        <w:t xml:space="preserve"> Jebusite</w:t>
      </w:r>
      <w:r w:rsidR="004C0852">
        <w:rPr>
          <w:rStyle w:val="EndnoteReference"/>
        </w:rPr>
        <w:endnoteReference w:id="22"/>
      </w:r>
      <w:r w:rsidR="004C0852">
        <w:t xml:space="preserve"> attack to </w:t>
      </w:r>
      <w:r w:rsidR="00D46BEF">
        <w:t xml:space="preserve">the south. </w:t>
      </w:r>
      <w:r>
        <w:t xml:space="preserve"> </w:t>
      </w:r>
      <w:r w:rsidR="00D46BEF">
        <w:t>T</w:t>
      </w:r>
      <w:r w:rsidR="00AD76EB">
        <w:t>hird</w:t>
      </w:r>
      <w:r w:rsidR="0050376B">
        <w:t xml:space="preserve">, </w:t>
      </w:r>
      <w:r w:rsidR="006C0180">
        <w:t xml:space="preserve">Joshua repulsed </w:t>
      </w:r>
      <w:r w:rsidR="0050376B">
        <w:t>the Canaanite attack</w:t>
      </w:r>
      <w:r>
        <w:t xml:space="preserve"> to the north;</w:t>
      </w:r>
      <w:r>
        <w:rPr>
          <w:rStyle w:val="EndnoteReference"/>
        </w:rPr>
        <w:endnoteReference w:id="23"/>
      </w:r>
      <w:r>
        <w:t xml:space="preserve"> returning to </w:t>
      </w:r>
      <w:r w:rsidR="006C0180">
        <w:t>the</w:t>
      </w:r>
      <w:r>
        <w:t xml:space="preserve"> main camp at Gilgal.</w:t>
      </w:r>
      <w:r>
        <w:rPr>
          <w:rStyle w:val="EndnoteReference"/>
        </w:rPr>
        <w:endnoteReference w:id="24"/>
      </w:r>
    </w:p>
    <w:p w:rsidR="00DE78E0" w:rsidRDefault="00006BED" w:rsidP="001B1B27">
      <w:pPr>
        <w:tabs>
          <w:tab w:val="left" w:pos="1080"/>
        </w:tabs>
      </w:pPr>
      <w:r>
        <w:t xml:space="preserve">These </w:t>
      </w:r>
      <w:r w:rsidR="004C0852">
        <w:t>events</w:t>
      </w:r>
      <w:r>
        <w:t xml:space="preserve"> are too frequently understood as the obliteration of Canaan.  However, few people with military experience would have this understanding of the account.  Joshua faced o</w:t>
      </w:r>
      <w:r w:rsidR="00C91D4E">
        <w:t>rganized armed resistance.  Non</w:t>
      </w:r>
      <w:r>
        <w:t>combatants hid themselves, and possibly even</w:t>
      </w:r>
      <w:r w:rsidR="00557B67">
        <w:t xml:space="preserve"> Canaanite reserves retreated f</w:t>
      </w:r>
      <w:r>
        <w:t>r</w:t>
      </w:r>
      <w:r w:rsidR="00557B67">
        <w:t>o</w:t>
      </w:r>
      <w:r>
        <w:t>m combat out of fear and certainty of defeat.</w:t>
      </w:r>
      <w:r w:rsidR="00557B67">
        <w:rPr>
          <w:rStyle w:val="EndnoteReference"/>
        </w:rPr>
        <w:endnoteReference w:id="25"/>
      </w:r>
      <w:r>
        <w:t xml:space="preserve">  What Joshua annihilated was the armed resistance that confronted him, nothing more.  These major battles were not generally conducted within cities.  Nor did Joshua conduct a slash and burn campaign.  Hazor was one of the few cities </w:t>
      </w:r>
      <w:r w:rsidR="006A5EF9">
        <w:t>wh</w:t>
      </w:r>
      <w:r w:rsidR="001B1B27">
        <w:t>ich</w:t>
      </w:r>
      <w:r w:rsidR="006A5EF9">
        <w:t xml:space="preserve"> Joshua was said to have burned.</w:t>
      </w:r>
      <w:r w:rsidR="006A5EF9">
        <w:rPr>
          <w:rStyle w:val="EndnoteReference"/>
        </w:rPr>
        <w:endnoteReference w:id="26"/>
      </w:r>
      <w:r w:rsidR="00AD76EB">
        <w:t xml:space="preserve">  When Joshua departed from Hazor, he did not leave a battalion behind, he didn’t leave anything behind.</w:t>
      </w:r>
    </w:p>
    <w:p w:rsidR="00DE78E0" w:rsidRDefault="006A5EF9" w:rsidP="006A5EF9">
      <w:pPr>
        <w:tabs>
          <w:tab w:val="left" w:pos="1080"/>
        </w:tabs>
      </w:pPr>
      <w:r>
        <w:t>Subsequent to these campaigns the Israelites did not meet any major armed resistance for perhaps ten or so years.</w:t>
      </w:r>
      <w:r>
        <w:rPr>
          <w:rStyle w:val="EndnoteReference"/>
        </w:rPr>
        <w:endnoteReference w:id="27"/>
      </w:r>
      <w:r>
        <w:t xml:space="preserve">  Even so the work of </w:t>
      </w:r>
      <w:r w:rsidR="0050376B">
        <w:t>occupation</w:t>
      </w:r>
      <w:r>
        <w:t xml:space="preserve"> was not </w:t>
      </w:r>
      <w:r w:rsidR="0050376B">
        <w:t>even begun</w:t>
      </w:r>
      <w:r>
        <w:t>.</w:t>
      </w:r>
      <w:r>
        <w:rPr>
          <w:rStyle w:val="EndnoteReference"/>
        </w:rPr>
        <w:endnoteReference w:id="28"/>
      </w:r>
    </w:p>
    <w:p w:rsidR="00931562" w:rsidRPr="00931562" w:rsidRDefault="00931562" w:rsidP="00931562">
      <w:pPr>
        <w:spacing w:before="120"/>
        <w:jc w:val="both"/>
        <w:rPr>
          <w:rFonts w:ascii="Trebuchet MS" w:hAnsi="Trebuchet MS"/>
          <w:b/>
          <w:bCs/>
          <w:i/>
          <w:iCs/>
          <w:sz w:val="36"/>
          <w:szCs w:val="36"/>
          <w:lang w:bidi="en-US"/>
        </w:rPr>
      </w:pPr>
      <w:r>
        <w:rPr>
          <w:rFonts w:ascii="Trebuchet MS" w:hAnsi="Trebuchet MS"/>
          <w:b/>
          <w:bCs/>
          <w:i/>
          <w:iCs/>
          <w:sz w:val="36"/>
          <w:szCs w:val="36"/>
          <w:lang w:bidi="en-US"/>
        </w:rPr>
        <w:t>The Defeated</w:t>
      </w:r>
    </w:p>
    <w:p w:rsidR="001B1B27" w:rsidRDefault="006A5EF9" w:rsidP="005B7E29">
      <w:pPr>
        <w:tabs>
          <w:tab w:val="left" w:pos="1080"/>
        </w:tabs>
      </w:pPr>
      <w:r>
        <w:t>What happened as soon as Joshua returned to Gilgal after the last campaign</w:t>
      </w:r>
      <w:r w:rsidR="003926A2">
        <w:t>, since no armies of occupation were left behind in the west</w:t>
      </w:r>
      <w:r>
        <w:t xml:space="preserve">?  </w:t>
      </w:r>
      <w:r w:rsidR="003926A2">
        <w:t xml:space="preserve">As soon as </w:t>
      </w:r>
      <w:r w:rsidR="00C91D4E">
        <w:t>Joshua was gone, the non</w:t>
      </w:r>
      <w:r w:rsidR="003926A2">
        <w:t xml:space="preserve">combatants came out of hiding and began to clean up.  Routed reserve units reorganized.  Enemy nations like Egypt, Philistia, Edom, Ammon, Moab, Syria, Assyria, and possibly </w:t>
      </w:r>
      <w:r w:rsidR="003926A2">
        <w:lastRenderedPageBreak/>
        <w:t>the Hittites, saw a chance to stabilize regional control and gain political influence.  Even though Joshua had decisively won every major battle except for the first battle of Ai</w:t>
      </w:r>
      <w:r w:rsidR="00BF4F22">
        <w:t>, he had conquered too much land to occupy.</w:t>
      </w:r>
      <w:r w:rsidR="00BF4F22">
        <w:rPr>
          <w:rStyle w:val="EndnoteReference"/>
        </w:rPr>
        <w:endnoteReference w:id="29"/>
      </w:r>
      <w:r w:rsidR="005A55D9">
        <w:t xml:space="preserve">  </w:t>
      </w:r>
      <w:r w:rsidR="004B71FA">
        <w:t>On average t</w:t>
      </w:r>
      <w:r w:rsidR="005A55D9">
        <w:t xml:space="preserve">his amounts </w:t>
      </w:r>
      <w:r w:rsidR="005B7E29">
        <w:t>to</w:t>
      </w:r>
      <w:r w:rsidR="005A55D9">
        <w:t xml:space="preserve"> </w:t>
      </w:r>
      <w:r w:rsidR="005B7E29">
        <w:t>sixteen</w:t>
      </w:r>
      <w:r w:rsidR="005A55D9">
        <w:t xml:space="preserve"> o</w:t>
      </w:r>
      <w:r w:rsidR="005B7E29">
        <w:t>r</w:t>
      </w:r>
      <w:r w:rsidR="005A55D9">
        <w:t xml:space="preserve"> </w:t>
      </w:r>
      <w:r w:rsidR="005B7E29">
        <w:t>seventeen</w:t>
      </w:r>
      <w:r w:rsidR="005A55D9">
        <w:t xml:space="preserve"> acres of land for each Israelite soldier to rid of enemy guer</w:t>
      </w:r>
      <w:r w:rsidR="001B1B27">
        <w:t>r</w:t>
      </w:r>
      <w:r w:rsidR="005A55D9">
        <w:t>illas and insurgents</w:t>
      </w:r>
      <w:r w:rsidR="005B7E29">
        <w:t>: not so easy to do in rugged hilly highland terrain.  Five acres of land is a lot for a man to manage without the aid of modern agricultural equipment, and without any enemies.</w:t>
      </w:r>
      <w:r w:rsidR="001B010C">
        <w:t xml:space="preserve">  Moreover, the Israelites were saddled with inferior bronze weapons.</w:t>
      </w:r>
      <w:r w:rsidR="005D2EDA">
        <w:rPr>
          <w:rStyle w:val="EndnoteReference"/>
        </w:rPr>
        <w:endnoteReference w:id="30"/>
      </w:r>
    </w:p>
    <w:p w:rsidR="006A5EF9" w:rsidRDefault="001B1B27" w:rsidP="006D562B">
      <w:pPr>
        <w:tabs>
          <w:tab w:val="left" w:pos="1080"/>
        </w:tabs>
      </w:pPr>
      <w:r>
        <w:t>After every major direct conflict, the broken and defeated armies automatically revert to guerrilla warfare, if they have any resistance left at all; or they resort to crime</w:t>
      </w:r>
      <w:r w:rsidR="00501210">
        <w:t>.  The Israelites did not readily take up the duties of an army of occupation.</w:t>
      </w:r>
      <w:r w:rsidR="00501210">
        <w:rPr>
          <w:rStyle w:val="EndnoteReference"/>
        </w:rPr>
        <w:endnoteReference w:id="31"/>
      </w:r>
      <w:r w:rsidR="00501210">
        <w:t xml:space="preserve">  The Canaanites were give</w:t>
      </w:r>
      <w:r w:rsidR="00AD76EB">
        <w:t>n space and time to regroup, thu</w:t>
      </w:r>
      <w:r w:rsidR="00501210">
        <w:t>s necessitating a second battle of Hazor.</w:t>
      </w:r>
      <w:r w:rsidR="00501210">
        <w:rPr>
          <w:rStyle w:val="EndnoteReference"/>
        </w:rPr>
        <w:endnoteReference w:id="32"/>
      </w:r>
      <w:r w:rsidR="00501210">
        <w:t xml:space="preserve">  Caleb </w:t>
      </w:r>
      <w:r w:rsidR="006D562B">
        <w:t xml:space="preserve">and his family </w:t>
      </w:r>
      <w:r w:rsidR="00501210">
        <w:t xml:space="preserve">alone </w:t>
      </w:r>
      <w:r w:rsidR="006D562B">
        <w:t>are</w:t>
      </w:r>
      <w:r w:rsidR="00501210">
        <w:t xml:space="preserve"> reported to have taking this occupational duty seriously.</w:t>
      </w:r>
      <w:r w:rsidR="00501210">
        <w:rPr>
          <w:rStyle w:val="EndnoteReference"/>
        </w:rPr>
        <w:endnoteReference w:id="33"/>
      </w:r>
    </w:p>
    <w:p w:rsidR="005E52BD" w:rsidRPr="005E52BD" w:rsidRDefault="005E52BD" w:rsidP="005E52BD">
      <w:pPr>
        <w:spacing w:before="120"/>
        <w:jc w:val="both"/>
        <w:rPr>
          <w:rFonts w:ascii="Trebuchet MS" w:hAnsi="Trebuchet MS"/>
          <w:b/>
          <w:bCs/>
          <w:i/>
          <w:iCs/>
          <w:sz w:val="36"/>
          <w:szCs w:val="36"/>
          <w:lang w:bidi="en-US"/>
        </w:rPr>
      </w:pPr>
      <w:r>
        <w:rPr>
          <w:rFonts w:ascii="Trebuchet MS" w:hAnsi="Trebuchet MS"/>
          <w:b/>
          <w:bCs/>
          <w:i/>
          <w:iCs/>
          <w:sz w:val="36"/>
          <w:szCs w:val="36"/>
          <w:lang w:bidi="en-US"/>
        </w:rPr>
        <w:t>Reality</w:t>
      </w:r>
    </w:p>
    <w:p w:rsidR="00C57372" w:rsidRDefault="009C70B0" w:rsidP="00CC2191">
      <w:pPr>
        <w:tabs>
          <w:tab w:val="left" w:pos="1080"/>
        </w:tabs>
      </w:pPr>
      <w:r>
        <w:t xml:space="preserve">The book of Judges describes </w:t>
      </w:r>
      <w:r w:rsidR="00AD76EB">
        <w:t xml:space="preserve">such an occupation as </w:t>
      </w:r>
      <w:r>
        <w:t xml:space="preserve">an era of extreme turmoil, during which Israel was not always dominant.  </w:t>
      </w:r>
      <w:r w:rsidR="00AD76EB">
        <w:t xml:space="preserve">Not only did the Israelites quit on Yahweh; but Yahweh also got </w:t>
      </w:r>
      <w:r w:rsidR="00206C4F">
        <w:t>“</w:t>
      </w:r>
      <w:r w:rsidR="00AD76EB">
        <w:t>fed up</w:t>
      </w:r>
      <w:r w:rsidR="00206C4F">
        <w:t>”,</w:t>
      </w:r>
      <w:r w:rsidR="00AD76EB">
        <w:t xml:space="preserve"> and quit on them.</w:t>
      </w:r>
      <w:r w:rsidR="00AD76EB">
        <w:rPr>
          <w:rStyle w:val="EndnoteReference"/>
        </w:rPr>
        <w:endnoteReference w:id="34"/>
      </w:r>
      <w:r w:rsidR="00AD76EB">
        <w:t xml:space="preserve">  </w:t>
      </w:r>
      <w:r>
        <w:t>This turmoil provides the background for the suffering of Ruth, and continues through 1 Samuel; where the decisive defeat of the Israelites at the hands of the Philistines is described in detail.</w:t>
      </w:r>
    </w:p>
    <w:p w:rsidR="00DE78E0" w:rsidRDefault="009C70B0" w:rsidP="00661649">
      <w:pPr>
        <w:tabs>
          <w:tab w:val="left" w:pos="1080"/>
        </w:tabs>
      </w:pPr>
      <w:r>
        <w:t>Later</w:t>
      </w:r>
      <w:r w:rsidR="00173A9A">
        <w:t>,</w:t>
      </w:r>
      <w:r>
        <w:t xml:space="preserve"> when </w:t>
      </w:r>
      <w:r w:rsidRPr="008930EB">
        <w:rPr>
          <w:i/>
          <w:iCs/>
          <w:u w:val="single"/>
        </w:rPr>
        <w:t>The Bible’s Buried Secrets</w:t>
      </w:r>
      <w:r>
        <w:t xml:space="preserve"> chooses to finally address this era they will conveniently avoid all of this material from </w:t>
      </w:r>
      <w:r w:rsidR="00CC2191">
        <w:t>Joshua, Judges, Ruth, 1 Samuel, 2 Samuel Chapters 1 through 4, Psalms</w:t>
      </w:r>
      <w:r w:rsidR="00CC2191">
        <w:rPr>
          <w:rStyle w:val="EndnoteReference"/>
        </w:rPr>
        <w:endnoteReference w:id="35"/>
      </w:r>
      <w:r w:rsidR="00CC2191">
        <w:t>, and 1 Chronicles</w:t>
      </w:r>
      <w:r w:rsidR="00DC7AE9">
        <w:t>, even though it provides the perfect intersection with the Merneptah Stele and 1208.</w:t>
      </w:r>
      <w:r w:rsidR="00C57372">
        <w:t xml:space="preserve">  They will conveniently avoid any reference to Eli, Samuel, or Saul, and the many prominent </w:t>
      </w:r>
      <w:r w:rsidR="00661649">
        <w:t xml:space="preserve">events </w:t>
      </w:r>
      <w:r w:rsidR="00C57372">
        <w:t xml:space="preserve">and </w:t>
      </w:r>
      <w:r w:rsidR="00661649">
        <w:t xml:space="preserve">persons </w:t>
      </w:r>
      <w:r w:rsidR="00C57372">
        <w:t>that lie in between.</w:t>
      </w:r>
    </w:p>
    <w:p w:rsidR="00961500" w:rsidRPr="00961500" w:rsidRDefault="00961500" w:rsidP="00961500">
      <w:pPr>
        <w:spacing w:before="120"/>
        <w:jc w:val="both"/>
        <w:rPr>
          <w:rFonts w:ascii="Trebuchet MS" w:hAnsi="Trebuchet MS"/>
          <w:b/>
          <w:bCs/>
          <w:i/>
          <w:iCs/>
          <w:sz w:val="36"/>
          <w:szCs w:val="36"/>
          <w:lang w:bidi="en-US"/>
        </w:rPr>
      </w:pPr>
      <w:r>
        <w:rPr>
          <w:rFonts w:ascii="Trebuchet MS" w:hAnsi="Trebuchet MS"/>
          <w:b/>
          <w:bCs/>
          <w:i/>
          <w:iCs/>
          <w:sz w:val="36"/>
          <w:szCs w:val="36"/>
          <w:lang w:bidi="en-US"/>
        </w:rPr>
        <w:t>Authorship</w:t>
      </w:r>
    </w:p>
    <w:p w:rsidR="000C0BE8" w:rsidRDefault="000C0BE8" w:rsidP="00802A9F">
      <w:pPr>
        <w:tabs>
          <w:tab w:val="left" w:pos="1080"/>
        </w:tabs>
      </w:pPr>
      <w:r>
        <w:lastRenderedPageBreak/>
        <w:t>Instead</w:t>
      </w:r>
      <w:r w:rsidR="00636ABB">
        <w:t>,</w:t>
      </w:r>
      <w:r>
        <w:t xml:space="preserve"> </w:t>
      </w:r>
      <w:r w:rsidRPr="008930EB">
        <w:rPr>
          <w:i/>
          <w:iCs/>
          <w:u w:val="single"/>
        </w:rPr>
        <w:t>The Bible’s Buried Secrets</w:t>
      </w:r>
      <w:r>
        <w:t xml:space="preserve"> ignores all of this material and immediately leaps to David and Goliath.  From thence, the irrelevant leap to a false idea about biblical authorship is immediately made.  It is simply untrue </w:t>
      </w:r>
      <w:r w:rsidR="00802A9F">
        <w:t>to say,</w:t>
      </w:r>
      <w:r>
        <w:t xml:space="preserve"> “It is the ancient Israelites who write the Bible</w:t>
      </w:r>
      <w:r w:rsidR="00802A9F">
        <w:t xml:space="preserve">.”  It is equally misleading to suggest that such a national writing process evolved into Judaism.  Rather, we should say that Yahweh, through the </w:t>
      </w:r>
      <w:r w:rsidR="00173A9A">
        <w:t xml:space="preserve">instrumentalities of the </w:t>
      </w:r>
      <w:r w:rsidR="00802A9F">
        <w:t>Bible</w:t>
      </w:r>
      <w:r w:rsidR="00173A9A">
        <w:t>,</w:t>
      </w:r>
      <w:r w:rsidR="00802A9F">
        <w:t xml:space="preserve"> and suffering</w:t>
      </w:r>
      <w:r w:rsidR="00173A9A">
        <w:t>,</w:t>
      </w:r>
      <w:r w:rsidR="00802A9F">
        <w:t xml:space="preserve"> forged the Israelites into whatever they are today.  Judaism, however, lapses and fails to become the foundation of much of anything: certainly not a foundation for either Christianity or Islam.  It is equally false to claim “the Hebrew Bible, and the belief in one God are woven into the very fabric of world culture.”  What is firmly woven into modern </w:t>
      </w:r>
      <w:r w:rsidR="00661649">
        <w:t xml:space="preserve">world </w:t>
      </w:r>
      <w:r w:rsidR="00802A9F">
        <w:t>culture is pagan animistic</w:t>
      </w:r>
      <w:r w:rsidR="002712DB">
        <w:t xml:space="preserve"> and pantheistic</w:t>
      </w:r>
      <w:r w:rsidR="00802A9F">
        <w:t xml:space="preserve"> polytheism, and this has been true since at least 1449 AD.</w:t>
      </w:r>
      <w:r w:rsidR="002712DB">
        <w:rPr>
          <w:rStyle w:val="EndnoteReference"/>
        </w:rPr>
        <w:endnoteReference w:id="36"/>
      </w:r>
      <w:r w:rsidR="004D33F8">
        <w:t xml:space="preserve">  There is also evidence from ancient times that at least some people were monotheistic Yahweh worshipers.</w:t>
      </w:r>
      <w:r w:rsidR="004D33F8">
        <w:rPr>
          <w:rStyle w:val="EndnoteReference"/>
        </w:rPr>
        <w:endnoteReference w:id="37"/>
      </w:r>
      <w:r w:rsidR="00DF2C65">
        <w:t xml:space="preserve">  Nor is this synthesis new; it was first invented in the nineteenth century by </w:t>
      </w:r>
      <w:r w:rsidR="00DF2C65" w:rsidRPr="00DF2C65">
        <w:t>Julius Wellhausen</w:t>
      </w:r>
      <w:r w:rsidR="00DF2C65">
        <w:t>.</w:t>
      </w:r>
      <w:r w:rsidR="00DF2C65">
        <w:rPr>
          <w:rStyle w:val="EndnoteReference"/>
        </w:rPr>
        <w:endnoteReference w:id="38"/>
      </w:r>
    </w:p>
    <w:p w:rsidR="00DE78E0" w:rsidRPr="00961500" w:rsidRDefault="00DE78E0" w:rsidP="00961500">
      <w:pPr>
        <w:spacing w:before="120"/>
        <w:jc w:val="both"/>
        <w:rPr>
          <w:rFonts w:ascii="Trebuchet MS" w:hAnsi="Trebuchet MS"/>
          <w:b/>
          <w:bCs/>
          <w:i/>
          <w:iCs/>
          <w:sz w:val="36"/>
          <w:szCs w:val="36"/>
          <w:lang w:bidi="en-US"/>
        </w:rPr>
      </w:pPr>
      <w:r w:rsidRPr="00961500">
        <w:rPr>
          <w:rFonts w:ascii="Trebuchet MS" w:hAnsi="Trebuchet MS"/>
          <w:b/>
          <w:bCs/>
          <w:i/>
          <w:iCs/>
          <w:sz w:val="36"/>
          <w:szCs w:val="36"/>
          <w:lang w:bidi="en-US"/>
        </w:rPr>
        <w:t>Conclusion</w:t>
      </w:r>
    </w:p>
    <w:p w:rsidR="002070BE" w:rsidRDefault="00CB5CC1" w:rsidP="00CB5CC1">
      <w:pPr>
        <w:tabs>
          <w:tab w:val="left" w:pos="1080"/>
        </w:tabs>
      </w:pPr>
      <w:r>
        <w:t>This is a radical rewriting of history, designed to undermine the actual history of the period.  The flashback to Abraham is unrelated to 1208.  The flash ahead to David and Goliath avoids all the relevant material from the Bible, which must be studied in detail to provide reality for this period.</w:t>
      </w:r>
    </w:p>
    <w:p w:rsidR="00336A65" w:rsidRDefault="00CB5CC1" w:rsidP="00CB5CC1">
      <w:pPr>
        <w:tabs>
          <w:tab w:val="left" w:pos="1080"/>
        </w:tabs>
      </w:pPr>
      <w:r>
        <w:t xml:space="preserve">Several false claims, must be refuted.  The Israelites did not write the Bible.  The Jews did not discover monotheism.  Monotheism does not lead to Yahweh, the God of the Bible; it is not a foundation for Christianity, Islam, </w:t>
      </w:r>
      <w:r w:rsidR="00173A9A">
        <w:t xml:space="preserve">Judaism, </w:t>
      </w:r>
      <w:r>
        <w:t>or modern life.  The synthesis is not at all new.</w:t>
      </w:r>
    </w:p>
    <w:p w:rsidR="00587D57" w:rsidRDefault="00C625C6" w:rsidP="00587D57">
      <w:pPr>
        <w:tabs>
          <w:tab w:val="left" w:pos="1080"/>
        </w:tabs>
      </w:pPr>
      <w:r>
        <w:rPr>
          <w:rStyle w:val="EndnoteReference"/>
        </w:rPr>
        <w:endnoteReference w:id="39"/>
      </w:r>
    </w:p>
    <w:sectPr w:rsidR="00587D57" w:rsidSect="005F4C8E">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A70" w:rsidRDefault="009A0A70" w:rsidP="0031344D">
      <w:pPr>
        <w:spacing w:after="0"/>
      </w:pPr>
      <w:r>
        <w:separator/>
      </w:r>
    </w:p>
  </w:endnote>
  <w:endnote w:type="continuationSeparator" w:id="0">
    <w:p w:rsidR="009A0A70" w:rsidRDefault="009A0A70" w:rsidP="0031344D">
      <w:pPr>
        <w:spacing w:after="0"/>
      </w:pPr>
      <w:r>
        <w:continuationSeparator/>
      </w:r>
    </w:p>
  </w:endnote>
  <w:endnote w:id="1">
    <w:p w:rsidR="005A05FE" w:rsidRDefault="005A05FE" w:rsidP="005A05FE">
      <w:pPr>
        <w:pStyle w:val="Endnote"/>
      </w:pPr>
      <w:r>
        <w:rPr>
          <w:rStyle w:val="EndnoteReference"/>
        </w:rPr>
        <w:endnoteRef/>
      </w:r>
      <w:r>
        <w:t xml:space="preserve"> Actually, the David and Goliath incident does take place at the end of the Judges period; nevertheless, the reference here, distracts our attention away from the period Judges toward the kingdom.</w:t>
      </w:r>
    </w:p>
  </w:endnote>
  <w:endnote w:id="2">
    <w:p w:rsidR="005A05FE" w:rsidRDefault="005A05FE" w:rsidP="005A05FE">
      <w:pPr>
        <w:pStyle w:val="Endnote"/>
      </w:pPr>
      <w:r>
        <w:rPr>
          <w:rStyle w:val="EndnoteReference"/>
        </w:rPr>
        <w:endnoteRef/>
      </w:r>
      <w:r>
        <w:t xml:space="preserve"> The term ROT is a play on K. A. Kitchen’s book, </w:t>
      </w:r>
      <w:r w:rsidRPr="005A05FE">
        <w:rPr>
          <w:i/>
          <w:iCs/>
          <w:u w:val="single"/>
        </w:rPr>
        <w:t>On the Reliability of the Old Testament</w:t>
      </w:r>
      <w:r>
        <w:t>, which he lovingly dubs, O ROT….</w:t>
      </w:r>
    </w:p>
  </w:endnote>
  <w:endnote w:id="3">
    <w:p w:rsidR="00C25953" w:rsidRDefault="00C25953" w:rsidP="00BE1890">
      <w:pPr>
        <w:pStyle w:val="Endnote"/>
      </w:pPr>
      <w:r>
        <w:rPr>
          <w:rStyle w:val="EndnoteReference"/>
        </w:rPr>
        <w:endnoteRef/>
      </w:r>
      <w:r>
        <w:t xml:space="preserve"> This in defiance of the claim that Moses and the prophets wrote the Bible.</w:t>
      </w:r>
      <w:r w:rsidR="00083C69">
        <w:t xml:space="preserve">  Notice how subtly the Documentary Hypothesis is being sold.</w:t>
      </w:r>
    </w:p>
  </w:endnote>
  <w:endnote w:id="4">
    <w:p w:rsidR="002D30BA" w:rsidRDefault="002D30BA" w:rsidP="002D30BA">
      <w:pPr>
        <w:pStyle w:val="Endnote"/>
      </w:pPr>
      <w:r>
        <w:rPr>
          <w:rStyle w:val="EndnoteReference"/>
        </w:rPr>
        <w:endnoteRef/>
      </w:r>
      <w:r>
        <w:t xml:space="preserve"> Which is the same as saying that the Documentary Hypothesis created Judaism: mostly out of thin air.  The Jews did not actually have such a heritage; scribes dug it out of oral stories and forged it together with P.  The Documentary Hypothesis preserves “the belief of the ancient Israelites” only as far back as 900 BC, and only in the form of four threads (J, E, D, and P); not as far back as 1406 BC in the form of five books: Genesis, Exodus, Leviticus, Numbers, and Deuteronomy.</w:t>
      </w:r>
    </w:p>
    <w:p w:rsidR="002D30BA" w:rsidRDefault="002D30BA" w:rsidP="002D30BA">
      <w:pPr>
        <w:pStyle w:val="Endnote"/>
      </w:pPr>
      <w:r>
        <w:t>It is unlikely that the Bible was written in 1406 BC in the Hebrew language.  There is no evidence that the alphabetical Hebrew language was even invented before circa 1000 BC.  However, several other languages were in common use in 1406 BC; the best choice, among these languages, appears to be Akkadian Cuneiform.  So, all of Job, Torah, Joshua, Judges, Ruth, as well as 1 and 2 Samuel, are originally written in Akkadian Cuneiform, or one of the other available languages.  Around 1000 BC, driven by the rise of the Davidic kingdom, together with the invention of Hebrew, these documents would have been translated into Hebrew, as Hebrew became the language of the people.  As time passed, other documents, originally written in Hebrew, were added to the growing Old Testament: 1 and 2 Kings, Psalms, Proverbs, Ecclesiastes, Song of Solomon, Isaiah, some of the minor prophets.  After 516 BC, the older books were rewritten in Aramaic block letters; new books were added in the Aramaic language: Daniel, for example.  Around 200 BC, Greek became the common language of Israelites; older books were translated into Greek; newer books were originally written in Greek; a collection of Greek books known as the Septuagint resulted: this was the Old Testament that Jesus and the Apostles used.  The New Testament was first written in the Greek language, based on this Septuagint, Greek Old Testament.</w:t>
      </w:r>
    </w:p>
  </w:endnote>
  <w:endnote w:id="5">
    <w:p w:rsidR="002D30BA" w:rsidRDefault="002D30BA" w:rsidP="002D30BA">
      <w:pPr>
        <w:pStyle w:val="Endnote"/>
      </w:pPr>
      <w:r>
        <w:rPr>
          <w:rStyle w:val="EndnoteReference"/>
        </w:rPr>
        <w:endnoteRef/>
      </w:r>
      <w:r>
        <w:t xml:space="preserve"> This could be disputable as an exaggeration of the facts.  Judaism must be dated as continuously practiced from 516 BC to the present day; not old as far as religions are concerned; though, still older than Christianity or Islam.  On the other hand, as a form of worship, Judaism bears little in common with the Judean religion of 586 BC, or the Israelite religion of 722 BC, or the religion of David and Solomon from 1010-930 BC, or the religion of Moses, the Judges, and Samuel between 1406 and 1010 BC.  The Judean religion, practiced from 1010-586 BC, is most akin to Christianity: because of the presence of the Sh</w:t>
      </w:r>
      <w:r w:rsidRPr="00F9777B">
        <w:rPr>
          <w:rFonts w:cs="Times New Roman"/>
          <w:vertAlign w:val="superscript"/>
        </w:rPr>
        <w:t>ə</w:t>
      </w:r>
      <w:r>
        <w:t>kinah, Who, suddenly returns to His temple (</w:t>
      </w:r>
      <w:r w:rsidRPr="00F9777B">
        <w:t>Malachi 3:1</w:t>
      </w:r>
      <w:r>
        <w:t>).</w:t>
      </w:r>
    </w:p>
  </w:endnote>
  <w:endnote w:id="6">
    <w:p w:rsidR="00F9777B" w:rsidRDefault="00F9777B" w:rsidP="00F9777B">
      <w:pPr>
        <w:pStyle w:val="Endnote"/>
      </w:pPr>
      <w:r>
        <w:rPr>
          <w:rStyle w:val="EndnoteReference"/>
        </w:rPr>
        <w:endnoteRef/>
      </w:r>
      <w:r>
        <w:t xml:space="preserve"> </w:t>
      </w:r>
      <w:r w:rsidR="00575C20">
        <w:t>Another false and misleading statement: monotheism, specifically the Trinitarian form of monotheism, has been in continuous practice since Creation and Adam.  The available evidence suggests that polytheism developed as a perversion of Trinitarian monotheism, not the other way around.</w:t>
      </w:r>
    </w:p>
  </w:endnote>
  <w:endnote w:id="7">
    <w:p w:rsidR="00575C20" w:rsidRDefault="00575C20" w:rsidP="00575C20">
      <w:pPr>
        <w:pStyle w:val="Endnote"/>
      </w:pPr>
      <w:r>
        <w:rPr>
          <w:rStyle w:val="EndnoteReference"/>
        </w:rPr>
        <w:endnoteRef/>
      </w:r>
      <w:r>
        <w:t xml:space="preserve"> Christianity, the legitimate heir of the Judean religion (1010-586</w:t>
      </w:r>
      <w:r w:rsidR="00AB2D3A">
        <w:t xml:space="preserve"> BC</w:t>
      </w:r>
      <w:r>
        <w:t>), has little to nothing in common with either Islam o</w:t>
      </w:r>
      <w:r w:rsidR="007330AE">
        <w:t>r</w:t>
      </w:r>
      <w:r>
        <w:t xml:space="preserve"> Judaism.  The Judean religion ceased to exist when the Sh</w:t>
      </w:r>
      <w:r w:rsidRPr="00F9777B">
        <w:rPr>
          <w:rFonts w:cs="Times New Roman"/>
          <w:vertAlign w:val="superscript"/>
        </w:rPr>
        <w:t>ə</w:t>
      </w:r>
      <w:r>
        <w:t xml:space="preserve">kinah abandoned the temple </w:t>
      </w:r>
      <w:r w:rsidR="00731E63">
        <w:t>(Ezek</w:t>
      </w:r>
      <w:r w:rsidR="00803E3F">
        <w:t>iel 9:3; 10:4; 18-19; 11:22-23)</w:t>
      </w:r>
      <w:r w:rsidR="008E2CA9">
        <w:t xml:space="preserve">. </w:t>
      </w:r>
      <w:r w:rsidR="00AB2D3A">
        <w:t xml:space="preserve"> </w:t>
      </w:r>
      <w:r w:rsidR="008E2CA9">
        <w:t>I</w:t>
      </w:r>
      <w:r w:rsidR="00AB2D3A">
        <w:t xml:space="preserve">t was restored </w:t>
      </w:r>
      <w:r w:rsidR="008E2CA9">
        <w:t xml:space="preserve">when </w:t>
      </w:r>
      <w:r w:rsidR="00AB2D3A">
        <w:t>the Sh</w:t>
      </w:r>
      <w:r w:rsidR="00AB2D3A" w:rsidRPr="00F9777B">
        <w:rPr>
          <w:rFonts w:cs="Times New Roman"/>
          <w:vertAlign w:val="superscript"/>
        </w:rPr>
        <w:t>ə</w:t>
      </w:r>
      <w:r w:rsidR="00AB2D3A">
        <w:t>kinah returned in 4 BC.</w:t>
      </w:r>
    </w:p>
  </w:endnote>
  <w:endnote w:id="8">
    <w:p w:rsidR="007674F9" w:rsidRDefault="007674F9" w:rsidP="007674F9">
      <w:pPr>
        <w:pStyle w:val="Endnote"/>
      </w:pPr>
      <w:r>
        <w:rPr>
          <w:rStyle w:val="EndnoteReference"/>
        </w:rPr>
        <w:endnoteRef/>
      </w:r>
      <w:r>
        <w:t xml:space="preserve"> </w:t>
      </w:r>
      <w:r w:rsidR="004931F1">
        <w:t>This is also a gross overstatement, possibly made by someone who has never been in the Far East.  Of the world’s 7.25 to 7.5 billion people only about 1 billion are Christian; about 1 billion are Islam; only a handful are Jewish; most of the rest adhere to pantheistic and/or polytheistic beliefs, which run the gamut from the most primitive to the most highly sophisticated.  Belief in One God, in many circles, is mere lip service at best; in other circles, it reduced to cultic practices which are no longer Trinitarian.</w:t>
      </w:r>
    </w:p>
  </w:endnote>
  <w:endnote w:id="9">
    <w:p w:rsidR="00C25953" w:rsidRDefault="00C25953" w:rsidP="00D516D0">
      <w:pPr>
        <w:pStyle w:val="Endnote"/>
      </w:pPr>
      <w:r>
        <w:rPr>
          <w:rStyle w:val="EndnoteReference"/>
        </w:rPr>
        <w:endnoteRef/>
      </w:r>
      <w:r>
        <w:t xml:space="preserve"> constructed from various materials</w:t>
      </w:r>
    </w:p>
  </w:endnote>
  <w:endnote w:id="10">
    <w:p w:rsidR="00C25953" w:rsidRDefault="00C25953" w:rsidP="004D11AE">
      <w:pPr>
        <w:pStyle w:val="Endnote"/>
      </w:pPr>
      <w:r>
        <w:rPr>
          <w:rStyle w:val="EndnoteReference"/>
        </w:rPr>
        <w:endnoteRef/>
      </w:r>
      <w:r>
        <w:t xml:space="preserve"> Where is JHVH in this discussion?  Where is the claim that JHVH appeared to the Israelites in His Sh</w:t>
      </w:r>
      <w:r w:rsidRPr="00BE1890">
        <w:rPr>
          <w:vertAlign w:val="superscript"/>
        </w:rPr>
        <w:t>ə</w:t>
      </w:r>
      <w:r>
        <w:t>kinah Glory and revealed Himself to them?  The theocentric idea that God found them, is turned inside-out to pose the impossible anthropocentric question, “How did they find Him?  Answer: They did not; they could not; they were hopelessly enslaved.  It is amazing how one can reconstruct an ancient archaeological narrative, as long as one is willing to erase or ignore the central claim of the document.  Once JHVH and His Sh</w:t>
      </w:r>
      <w:r w:rsidRPr="00BE1890">
        <w:rPr>
          <w:vertAlign w:val="superscript"/>
        </w:rPr>
        <w:t>ə</w:t>
      </w:r>
      <w:r>
        <w:t>kinah Glory are deleted, one can literally get away with murder, by way of reinterpreting the evidence.</w:t>
      </w:r>
    </w:p>
  </w:endnote>
  <w:endnote w:id="11">
    <w:p w:rsidR="00DC4279" w:rsidRDefault="00C25953" w:rsidP="0054461A">
      <w:pPr>
        <w:pStyle w:val="Endnote"/>
      </w:pPr>
      <w:r>
        <w:rPr>
          <w:rStyle w:val="EndnoteReference"/>
        </w:rPr>
        <w:endnoteRef/>
      </w:r>
      <w:r>
        <w:t xml:space="preserve"> This is a profound observation.  Without the Bible, we would not know where to dig in search of archaeologic</w:t>
      </w:r>
      <w:r w:rsidR="0054461A">
        <w:t>al evidence;</w:t>
      </w:r>
      <w:r>
        <w:t xml:space="preserve"> or what to call it, once it is found.  Archaeology is totally dependent on the Bible, but the Bible remains independent of archaeology.</w:t>
      </w:r>
    </w:p>
    <w:p w:rsidR="00DC4279" w:rsidRDefault="0054461A" w:rsidP="0054461A">
      <w:pPr>
        <w:pStyle w:val="Endnote"/>
      </w:pPr>
      <w:r>
        <w:t xml:space="preserve">Although Dever claims, “You cannot afford to ignore biblical text,” this does not mean that he intends to respect the biblical text, </w:t>
      </w:r>
      <w:r w:rsidR="00DC4279">
        <w:t xml:space="preserve">or its evidence, </w:t>
      </w:r>
      <w:r>
        <w:t>or that it expresses any au</w:t>
      </w:r>
      <w:r w:rsidR="00DC4279">
        <w:t>thority of Yahweh over his life: r</w:t>
      </w:r>
      <w:r>
        <w:t>ather, Dever intends to pick and choose from the Bible as he sees fit.  In such a case, the god who authorizes and empowers the Bible is Dever himself.  This is nothing less than self-idolization.</w:t>
      </w:r>
    </w:p>
    <w:p w:rsidR="00C25953" w:rsidRDefault="006C6DC7" w:rsidP="0054461A">
      <w:pPr>
        <w:pStyle w:val="Endnote"/>
      </w:pPr>
      <w:r>
        <w:t xml:space="preserve">As far as scientific enquiry is concerned, this amounts to picking and choosing </w:t>
      </w:r>
      <w:r w:rsidR="00DC4279">
        <w:t>the evidence one likes, and trashing any evidence that does not conveniently fit into one’s mold.  This is the logical equivalent of pounding the proverbial round peg into a square hole: keep on hammering the data until it fits.</w:t>
      </w:r>
    </w:p>
  </w:endnote>
  <w:endnote w:id="12">
    <w:p w:rsidR="00C970AA" w:rsidRDefault="00C970AA" w:rsidP="00C970AA">
      <w:pPr>
        <w:pStyle w:val="Endnote"/>
      </w:pPr>
      <w:r>
        <w:rPr>
          <w:rStyle w:val="EndnoteReference"/>
        </w:rPr>
        <w:endnoteRef/>
      </w:r>
      <w:r>
        <w:t xml:space="preserve"> While the evidence for the Judges period is found in the book of Judges</w:t>
      </w:r>
      <w:r w:rsidR="00E2565A">
        <w:t>;</w:t>
      </w:r>
      <w:r w:rsidR="00DC79E4">
        <w:t xml:space="preserve"> Ruth, and the books of Samuel</w:t>
      </w:r>
      <w:r>
        <w:t xml:space="preserve"> </w:t>
      </w:r>
      <w:r w:rsidR="00DC79E4">
        <w:t>(</w:t>
      </w:r>
      <w:r>
        <w:t>which LXX identifies as 1 and 2 Kings/Kingdoms</w:t>
      </w:r>
      <w:r w:rsidR="00DC79E4">
        <w:t>)</w:t>
      </w:r>
      <w:r>
        <w:t xml:space="preserve"> are equally contributors to the period evidence.  In passing, we note that Samuel himself has been neglected, which is a shame, because he is the next major prophetic voice since Moses: Samuel is pivotal to understanding the transition from the period of Judges, to the period of the Kingdom.  None of this could be pieced together without Samuel.</w:t>
      </w:r>
    </w:p>
  </w:endnote>
  <w:endnote w:id="13">
    <w:p w:rsidR="00AE3357" w:rsidRDefault="00AE3357" w:rsidP="00AE3357">
      <w:pPr>
        <w:pStyle w:val="Endnote"/>
      </w:pPr>
      <w:r>
        <w:rPr>
          <w:rStyle w:val="EndnoteReference"/>
        </w:rPr>
        <w:endnoteRef/>
      </w:r>
      <w:r>
        <w:t xml:space="preserve"> The terminus a q</w:t>
      </w:r>
      <w:r w:rsidRPr="00F53263">
        <w:t>uo</w:t>
      </w:r>
      <w:r>
        <w:t xml:space="preserve"> is calculated from the terminus a</w:t>
      </w:r>
      <w:r w:rsidRPr="0096303C">
        <w:t xml:space="preserve">d </w:t>
      </w:r>
      <w:r>
        <w:t>q</w:t>
      </w:r>
      <w:r w:rsidRPr="0096303C">
        <w:t>uem</w:t>
      </w:r>
      <w:r>
        <w:t>.  The terminus a</w:t>
      </w:r>
      <w:r w:rsidRPr="0096303C">
        <w:t xml:space="preserve">d </w:t>
      </w:r>
      <w:r>
        <w:t>q</w:t>
      </w:r>
      <w:r w:rsidRPr="0096303C">
        <w:t>uem</w:t>
      </w:r>
      <w:r>
        <w:t xml:space="preserve"> is a firmly fixed date, being verified by the inscriptions related to Shishak I (also spelled </w:t>
      </w:r>
      <w:r>
        <w:rPr>
          <w:lang w:val="en"/>
        </w:rPr>
        <w:t xml:space="preserve">Shoshenq I) on the </w:t>
      </w:r>
      <w:r w:rsidRPr="006921D9">
        <w:rPr>
          <w:lang w:val="en"/>
        </w:rPr>
        <w:t>Bubastite Portal</w:t>
      </w:r>
      <w:r>
        <w:rPr>
          <w:lang w:val="en"/>
        </w:rPr>
        <w:t xml:space="preserve"> at </w:t>
      </w:r>
      <w:r w:rsidRPr="006921D9">
        <w:rPr>
          <w:lang w:val="en"/>
        </w:rPr>
        <w:t>Karnak</w:t>
      </w:r>
      <w:r>
        <w:t xml:space="preserve"> and many other cross linkages.  (See 1 Kings 6:1.)  LXX has 440 years at this verse; while MT has 480 years.  The terminus a q</w:t>
      </w:r>
      <w:r w:rsidRPr="00F53263">
        <w:t>uo</w:t>
      </w:r>
      <w:r>
        <w:t xml:space="preserve"> is calculated, simply by adding 440 or 480 to 966 BC, yielding either 1406 or 1446 BC as the sum.  Discovering which of 1406 or 1446 BC is better is more difficult.  For decades, we have adhered blindly to the MT: yet, this becomes a kind of idolatry in its own right.  Today, we tend to prefer LXX: LXX is the Bible of Jesus, the Apostles, and the early Church.  A complete restudy of all the dating prior to 1010 BC is now required, which we will reserve for a later chapter.  This </w:t>
      </w:r>
      <w:r w:rsidR="00DC79E4">
        <w:t>seems</w:t>
      </w:r>
      <w:r>
        <w:t xml:space="preserve"> as if our investigation of Joshua and Judges will have to live with a potential 40-year error: still, peeking ahead, we see that the conclusion is 1406 BC.  Considering the material of Judges, such a 40-year error in dating is almost irrelevant: but we </w:t>
      </w:r>
      <w:r w:rsidR="00DC79E4">
        <w:t xml:space="preserve">do </w:t>
      </w:r>
      <w:r>
        <w:t>have a better solution.</w:t>
      </w:r>
    </w:p>
    <w:p w:rsidR="00AE3357" w:rsidRDefault="00AE3357" w:rsidP="00AE3357">
      <w:pPr>
        <w:pStyle w:val="Endnote"/>
        <w:rPr>
          <w:lang w:val="en"/>
        </w:rPr>
      </w:pPr>
      <w:r>
        <w:t xml:space="preserve">Later in these web pages, we will have much more to say about the </w:t>
      </w:r>
      <w:r w:rsidRPr="006921D9">
        <w:rPr>
          <w:lang w:val="en"/>
        </w:rPr>
        <w:t>Bubastite Portal</w:t>
      </w:r>
      <w:r>
        <w:rPr>
          <w:lang w:val="en"/>
        </w:rPr>
        <w:t xml:space="preserve"> at </w:t>
      </w:r>
      <w:r w:rsidRPr="006921D9">
        <w:rPr>
          <w:lang w:val="en"/>
        </w:rPr>
        <w:t>Karnak</w:t>
      </w:r>
      <w:r>
        <w:rPr>
          <w:lang w:val="en"/>
        </w:rPr>
        <w:t>, and provide more detailed references at that point.</w:t>
      </w:r>
    </w:p>
    <w:p w:rsidR="00AE3357" w:rsidRDefault="009A0A70" w:rsidP="00AE3357">
      <w:pPr>
        <w:pStyle w:val="Endnote"/>
      </w:pPr>
      <w:hyperlink r:id="rId1" w:history="1">
        <w:r w:rsidR="00AE3357" w:rsidRPr="009F43A3">
          <w:rPr>
            <w:rStyle w:val="Hyperlink"/>
            <w:lang w:val="en"/>
          </w:rPr>
          <w:t>http://en.wikipedia.org/wiki/Bubastite_Portal</w:t>
        </w:r>
      </w:hyperlink>
    </w:p>
  </w:endnote>
  <w:endnote w:id="14">
    <w:p w:rsidR="00274EE5" w:rsidRDefault="00435439" w:rsidP="00435439">
      <w:pPr>
        <w:pStyle w:val="Endnote"/>
      </w:pPr>
      <w:r>
        <w:rPr>
          <w:rStyle w:val="EndnoteReference"/>
        </w:rPr>
        <w:endnoteRef/>
      </w:r>
      <w:r>
        <w:t xml:space="preserve"> </w:t>
      </w:r>
      <w:r w:rsidR="00274EE5">
        <w:t>LXX:</w:t>
      </w:r>
    </w:p>
    <w:p w:rsidR="00435439" w:rsidRDefault="009A0A70" w:rsidP="00435439">
      <w:pPr>
        <w:pStyle w:val="Endnote"/>
      </w:pPr>
      <w:hyperlink r:id="rId2" w:history="1">
        <w:r w:rsidR="00274EE5" w:rsidRPr="00B3514E">
          <w:rPr>
            <w:rStyle w:val="Hyperlink"/>
          </w:rPr>
          <w:t>https://www.ellopos.net/elpenor/greek-texts/septuagint/chapter.asp?book=11&amp;page=6</w:t>
        </w:r>
      </w:hyperlink>
    </w:p>
    <w:p w:rsidR="00274EE5" w:rsidRDefault="00274EE5" w:rsidP="00435439">
      <w:pPr>
        <w:pStyle w:val="Endnote"/>
      </w:pPr>
      <w:r>
        <w:t>MT:</w:t>
      </w:r>
    </w:p>
    <w:p w:rsidR="00274EE5" w:rsidRDefault="009A0A70" w:rsidP="00435439">
      <w:pPr>
        <w:pStyle w:val="Endnote"/>
      </w:pPr>
      <w:hyperlink r:id="rId3" w:history="1">
        <w:r w:rsidR="00274EE5" w:rsidRPr="00B3514E">
          <w:rPr>
            <w:rStyle w:val="Hyperlink"/>
          </w:rPr>
          <w:t>https://www.biblegateway.com/passage/?search=1%20Kings%206%3A1&amp;version=KJV;WLC</w:t>
        </w:r>
      </w:hyperlink>
    </w:p>
  </w:endnote>
  <w:endnote w:id="15">
    <w:p w:rsidR="00AE3357" w:rsidRDefault="00AE3357" w:rsidP="00AE3357">
      <w:pPr>
        <w:pStyle w:val="Endnote"/>
      </w:pPr>
      <w:r>
        <w:rPr>
          <w:rStyle w:val="EndnoteReference"/>
        </w:rPr>
        <w:endnoteRef/>
      </w:r>
      <w:r>
        <w:t xml:space="preserve"> 2 Samuel 5:4-5</w:t>
      </w:r>
    </w:p>
  </w:endnote>
  <w:endnote w:id="16">
    <w:p w:rsidR="00AE3357" w:rsidRDefault="00AE3357" w:rsidP="00AE3357">
      <w:pPr>
        <w:pStyle w:val="Endnote"/>
      </w:pPr>
      <w:r>
        <w:rPr>
          <w:rStyle w:val="EndnoteReference"/>
        </w:rPr>
        <w:endnoteRef/>
      </w:r>
      <w:r>
        <w:t xml:space="preserve"> Because of the sound linkage with 966 BC, this must also be considered a fixed date; the ascension of David is not really debatable.</w:t>
      </w:r>
    </w:p>
  </w:endnote>
  <w:endnote w:id="17">
    <w:p w:rsidR="00557B67" w:rsidRDefault="00557B67" w:rsidP="00557B67">
      <w:pPr>
        <w:pStyle w:val="Endnote"/>
      </w:pPr>
      <w:r>
        <w:rPr>
          <w:rStyle w:val="EndnoteReference"/>
        </w:rPr>
        <w:endnoteRef/>
      </w:r>
      <w:r>
        <w:t xml:space="preserve"> Even if the bogus theory that Torah was written in 500 </w:t>
      </w:r>
      <w:r w:rsidR="0078781D">
        <w:t xml:space="preserve">BC </w:t>
      </w:r>
      <w:r>
        <w:t>is accepted</w:t>
      </w:r>
      <w:r w:rsidR="00E2565A">
        <w:t>, only</w:t>
      </w:r>
      <w:r>
        <w:t xml:space="preserve"> for the sake of argument, the subject matter is still irrelevant; it simply has no relationship to the events between </w:t>
      </w:r>
      <w:r w:rsidR="00CE69C6">
        <w:t>135</w:t>
      </w:r>
      <w:r w:rsidR="00612D5B">
        <w:t>4</w:t>
      </w:r>
      <w:r w:rsidR="0078781D">
        <w:t>/</w:t>
      </w:r>
      <w:r w:rsidR="00CE69C6">
        <w:t>139</w:t>
      </w:r>
      <w:r w:rsidR="00612D5B">
        <w:t>4</w:t>
      </w:r>
      <w:r>
        <w:t xml:space="preserve"> and 1010 </w:t>
      </w:r>
      <w:r w:rsidR="0078781D">
        <w:t xml:space="preserve">BC </w:t>
      </w:r>
      <w:r>
        <w:t>whatsoever.</w:t>
      </w:r>
    </w:p>
  </w:endnote>
  <w:endnote w:id="18">
    <w:p w:rsidR="00E2565A" w:rsidRDefault="003610CB" w:rsidP="003610CB">
      <w:pPr>
        <w:pStyle w:val="Endnote"/>
      </w:pPr>
      <w:r>
        <w:rPr>
          <w:rStyle w:val="EndnoteReference"/>
        </w:rPr>
        <w:endnoteRef/>
      </w:r>
      <w:r>
        <w:t xml:space="preserve"> Psalms and Chronicles are not usually included in such studies, because they are not period literature: Psalms, because of its hymnodic nature, as well as the difficulty of pinning individual Psalms to exact dates; Chronicles, because it is an analysis of the Israelite collapse written from a post 516 BC perspective.  That being said, the study of Psalms provides the best overview summary of the entire Old Testament, together with a thorough preview of the entire New Testament.  Chronicles, does provide confirmation, as well as occasional details that would otherwise be lost.</w:t>
      </w:r>
    </w:p>
    <w:p w:rsidR="003610CB" w:rsidRDefault="003610CB" w:rsidP="003610CB">
      <w:pPr>
        <w:pStyle w:val="Endnote"/>
      </w:pPr>
      <w:r>
        <w:t xml:space="preserve">If there were any possibility that the Documentary Hypothesis were true, astute P scribes, </w:t>
      </w:r>
      <w:r w:rsidR="00E139F9">
        <w:t>ostensibly</w:t>
      </w:r>
      <w:r>
        <w:t xml:space="preserve"> </w:t>
      </w:r>
      <w:r w:rsidR="00E139F9">
        <w:t>having written half the material, would not have failed to correct the material in accordance with Chronicles: such a failure is another evidence that the Documentary Hypothesis is not true.</w:t>
      </w:r>
    </w:p>
  </w:endnote>
  <w:endnote w:id="19">
    <w:p w:rsidR="004E5E7A" w:rsidRDefault="004E5E7A" w:rsidP="004E5E7A">
      <w:pPr>
        <w:pStyle w:val="Endnote"/>
      </w:pPr>
      <w:r>
        <w:rPr>
          <w:rStyle w:val="EndnoteReference"/>
        </w:rPr>
        <w:endnoteRef/>
      </w:r>
      <w:r>
        <w:t xml:space="preserve"> Joshua chapters 2 through 4</w:t>
      </w:r>
    </w:p>
  </w:endnote>
  <w:endnote w:id="20">
    <w:p w:rsidR="004E5E7A" w:rsidRDefault="004E5E7A" w:rsidP="004E5E7A">
      <w:pPr>
        <w:pStyle w:val="Endnote"/>
      </w:pPr>
      <w:r>
        <w:rPr>
          <w:rStyle w:val="EndnoteReference"/>
        </w:rPr>
        <w:endnoteRef/>
      </w:r>
      <w:r>
        <w:t xml:space="preserve"> Joshua chapter 6</w:t>
      </w:r>
    </w:p>
  </w:endnote>
  <w:endnote w:id="21">
    <w:p w:rsidR="00311B9B" w:rsidRDefault="00311B9B" w:rsidP="00311B9B">
      <w:pPr>
        <w:pStyle w:val="Endnote"/>
      </w:pPr>
      <w:r>
        <w:rPr>
          <w:rStyle w:val="EndnoteReference"/>
        </w:rPr>
        <w:endnoteRef/>
      </w:r>
      <w:r>
        <w:t xml:space="preserve"> Joshua chapters 7 through 8</w:t>
      </w:r>
    </w:p>
  </w:endnote>
  <w:endnote w:id="22">
    <w:p w:rsidR="004C0852" w:rsidRDefault="004C0852" w:rsidP="004C0852">
      <w:pPr>
        <w:pStyle w:val="Endnote"/>
      </w:pPr>
      <w:r>
        <w:rPr>
          <w:rStyle w:val="EndnoteReference"/>
        </w:rPr>
        <w:endnoteRef/>
      </w:r>
      <w:r>
        <w:t xml:space="preserve"> We do not wish to create a false impression; what we have here called Jebusite, involved several other city-states, not necessarily led by Jebusites.  The details found in Joshua require careful observation.  The point being made her</w:t>
      </w:r>
      <w:r w:rsidR="00764D32">
        <w:t>e is that Joshua did not attack;</w:t>
      </w:r>
      <w:r>
        <w:t xml:space="preserve"> Joshua did not pick the fight, he just finished it.</w:t>
      </w:r>
    </w:p>
  </w:endnote>
  <w:endnote w:id="23">
    <w:p w:rsidR="00311B9B" w:rsidRDefault="00311B9B" w:rsidP="00311B9B">
      <w:pPr>
        <w:pStyle w:val="Endnote"/>
      </w:pPr>
      <w:r>
        <w:rPr>
          <w:rStyle w:val="EndnoteReference"/>
        </w:rPr>
        <w:endnoteRef/>
      </w:r>
      <w:r>
        <w:t xml:space="preserve"> Joshua chapters 10</w:t>
      </w:r>
      <w:r w:rsidRPr="00311B9B">
        <w:t xml:space="preserve"> </w:t>
      </w:r>
      <w:r>
        <w:t>through 11</w:t>
      </w:r>
    </w:p>
  </w:endnote>
  <w:endnote w:id="24">
    <w:p w:rsidR="00311B9B" w:rsidRDefault="00311B9B" w:rsidP="00311B9B">
      <w:pPr>
        <w:pStyle w:val="Endnote"/>
      </w:pPr>
      <w:r>
        <w:rPr>
          <w:rStyle w:val="EndnoteReference"/>
        </w:rPr>
        <w:endnoteRef/>
      </w:r>
      <w:r>
        <w:t xml:space="preserve"> </w:t>
      </w:r>
      <w:r w:rsidR="0050376B">
        <w:t xml:space="preserve">In no case was Joshua the aggressor after Bethel and Ai.  </w:t>
      </w:r>
      <w:r w:rsidR="006C0180">
        <w:t xml:space="preserve">Deuteronomy 11:30; </w:t>
      </w:r>
      <w:r>
        <w:t>Joshua 4:19, 20; 5:9, 10</w:t>
      </w:r>
      <w:r w:rsidR="00006BED">
        <w:t>; 9:6; 10:6, 7, 9, 15, 43; 12:23; 14:6</w:t>
      </w:r>
    </w:p>
  </w:endnote>
  <w:endnote w:id="25">
    <w:p w:rsidR="00557B67" w:rsidRDefault="00557B67" w:rsidP="00557B67">
      <w:pPr>
        <w:pStyle w:val="Endnote"/>
      </w:pPr>
      <w:r>
        <w:rPr>
          <w:rStyle w:val="EndnoteReference"/>
        </w:rPr>
        <w:endnoteRef/>
      </w:r>
      <w:r>
        <w:t xml:space="preserve"> This is the perfect description of a rout.  </w:t>
      </w:r>
      <w:hyperlink r:id="rId4" w:history="1">
        <w:r w:rsidRPr="009F43A3">
          <w:rPr>
            <w:rStyle w:val="Hyperlink"/>
          </w:rPr>
          <w:t>http://en.wikipedia.org/wiki/Rout</w:t>
        </w:r>
      </w:hyperlink>
    </w:p>
  </w:endnote>
  <w:endnote w:id="26">
    <w:p w:rsidR="006A5EF9" w:rsidRDefault="006A5EF9" w:rsidP="006A5EF9">
      <w:pPr>
        <w:pStyle w:val="Endnote"/>
      </w:pPr>
      <w:r>
        <w:rPr>
          <w:rStyle w:val="EndnoteReference"/>
        </w:rPr>
        <w:endnoteRef/>
      </w:r>
      <w:r>
        <w:t xml:space="preserve"> </w:t>
      </w:r>
      <w:r w:rsidR="001B010C">
        <w:t xml:space="preserve">It is possible that only chariots were actually burned.  </w:t>
      </w:r>
      <w:r>
        <w:t>Joshua 11:</w:t>
      </w:r>
      <w:r w:rsidR="001B010C">
        <w:t xml:space="preserve">6, 9, </w:t>
      </w:r>
      <w:r>
        <w:t>13</w:t>
      </w:r>
    </w:p>
  </w:endnote>
  <w:endnote w:id="27">
    <w:p w:rsidR="006A5EF9" w:rsidRDefault="006A5EF9" w:rsidP="006A5EF9">
      <w:pPr>
        <w:pStyle w:val="Endnote"/>
      </w:pPr>
      <w:r>
        <w:rPr>
          <w:rStyle w:val="EndnoteReference"/>
        </w:rPr>
        <w:endnoteRef/>
      </w:r>
      <w:r>
        <w:t xml:space="preserve"> Joshua 11:23</w:t>
      </w:r>
    </w:p>
  </w:endnote>
  <w:endnote w:id="28">
    <w:p w:rsidR="006A5EF9" w:rsidRDefault="006A5EF9" w:rsidP="006A5EF9">
      <w:pPr>
        <w:pStyle w:val="Endnote"/>
      </w:pPr>
      <w:r>
        <w:rPr>
          <w:rStyle w:val="EndnoteReference"/>
        </w:rPr>
        <w:endnoteRef/>
      </w:r>
      <w:r>
        <w:t xml:space="preserve"> Joshua 13:1</w:t>
      </w:r>
      <w:r w:rsidR="006258B2">
        <w:t>; Judges 2:23; 3:1-7</w:t>
      </w:r>
    </w:p>
  </w:endnote>
  <w:endnote w:id="29">
    <w:p w:rsidR="00BF4F22" w:rsidRDefault="00BF4F22" w:rsidP="00C91D4E">
      <w:pPr>
        <w:pStyle w:val="Endnote"/>
      </w:pPr>
      <w:r>
        <w:rPr>
          <w:rStyle w:val="EndnoteReference"/>
        </w:rPr>
        <w:endnoteRef/>
      </w:r>
      <w:r>
        <w:t xml:space="preserve"> Modern Israel, excluding the east </w:t>
      </w:r>
      <w:r w:rsidR="0050376B">
        <w:t xml:space="preserve">(Transjordan) </w:t>
      </w:r>
      <w:r>
        <w:t xml:space="preserve">and west </w:t>
      </w:r>
      <w:r w:rsidR="0050376B">
        <w:t xml:space="preserve">(Cisjordan) </w:t>
      </w:r>
      <w:r>
        <w:t>banks, occupies in excess of 8,000 square miles.  With no stretch of imagination, including both east and west banks, Joshua needed to bring 16,000 square miles of territory under control.  That’s a land area bigger than Maryland; half the size of South Carolina</w:t>
      </w:r>
      <w:r w:rsidR="00C91D4E">
        <w:t xml:space="preserve">.  That’s in excess of ten million acres.  At that time the census </w:t>
      </w:r>
      <w:r w:rsidR="00F7215E">
        <w:t>o</w:t>
      </w:r>
      <w:r w:rsidR="00C91D4E">
        <w:t>f Israelites was 603,550 male combatants: including women, children, and other noncombatants, a gr</w:t>
      </w:r>
      <w:r w:rsidR="00F7215E">
        <w:t>oss population of as many as two</w:t>
      </w:r>
      <w:r w:rsidR="00C91D4E">
        <w:t xml:space="preserve"> million</w:t>
      </w:r>
      <w:r w:rsidR="005A55D9">
        <w:t xml:space="preserve">.  This amounts to an average of </w:t>
      </w:r>
      <w:r w:rsidR="00764D32">
        <w:t>five</w:t>
      </w:r>
      <w:r w:rsidR="005A55D9">
        <w:t xml:space="preserve"> acres per person, most of whom would be city dwellers.  Ea</w:t>
      </w:r>
      <w:r w:rsidR="0050376B">
        <w:t>ch soldier would need to keep p</w:t>
      </w:r>
      <w:r w:rsidR="005A55D9">
        <w:t>e</w:t>
      </w:r>
      <w:r w:rsidR="0050376B">
        <w:t>a</w:t>
      </w:r>
      <w:r w:rsidR="00764D32">
        <w:t>ce over 20</w:t>
      </w:r>
      <w:r w:rsidR="005A55D9">
        <w:t xml:space="preserve"> or more acres.  This is not difficult if a region is free from criminal or other enemy behavior</w:t>
      </w:r>
      <w:r w:rsidR="00206C4F">
        <w:t>.</w:t>
      </w:r>
      <w:r w:rsidR="0050376B">
        <w:t xml:space="preserve">  What happened was that most of the Israelites stayed behind in Gilgal where it was safe.  Even when the first tribes ventured forth to begin occupation</w:t>
      </w:r>
      <w:r w:rsidR="00783662">
        <w:t>, many of them were still city dwellers.  We can easily envision a committed soldier being left</w:t>
      </w:r>
      <w:r w:rsidR="00F7215E">
        <w:t xml:space="preserve"> with 66 or more acres to guard;</w:t>
      </w:r>
      <w:r w:rsidR="00783662">
        <w:t xml:space="preserve"> not to mention</w:t>
      </w:r>
      <w:r w:rsidR="00F7215E">
        <w:t>:</w:t>
      </w:r>
      <w:r w:rsidR="00783662">
        <w:t xml:space="preserve"> </w:t>
      </w:r>
      <w:r w:rsidR="00F7215E">
        <w:t xml:space="preserve">provide for </w:t>
      </w:r>
      <w:r w:rsidR="00783662">
        <w:t>his family, livestock, and agricultural duties.  Israel was stretched pretty thin, by any measure of the evidence.</w:t>
      </w:r>
    </w:p>
  </w:endnote>
  <w:endnote w:id="30">
    <w:p w:rsidR="005D2EDA" w:rsidRDefault="005D2EDA" w:rsidP="002C7688">
      <w:pPr>
        <w:pStyle w:val="Endnote"/>
      </w:pPr>
      <w:r>
        <w:rPr>
          <w:rStyle w:val="EndnoteReference"/>
        </w:rPr>
        <w:endnoteRef/>
      </w:r>
      <w:r>
        <w:t xml:space="preserve"> We are on the brink of the coming Iron Age in Israel.  It is clear from the text that some, perhaps all, of the Canaanites had already reached the Iron Age.  Although the Israelites were able to capture iron</w:t>
      </w:r>
      <w:r w:rsidR="002C7688">
        <w:t>, there is no indication</w:t>
      </w:r>
      <w:r w:rsidR="00F7215E">
        <w:t>,</w:t>
      </w:r>
      <w:r w:rsidR="002C7688">
        <w:t xml:space="preserve"> either that the Canaanites gave up their iron metallurgy, or that the Israelites figured out how to crack </w:t>
      </w:r>
      <w:r w:rsidR="00F7215E">
        <w:t xml:space="preserve">the technology for </w:t>
      </w:r>
      <w:r w:rsidR="002C7688">
        <w:t>such iron metallurgy.  The “trade secret” gave the Canaanites a distinct military advantage, especially in terrains where iron could be employed to advantage against bronze or brass.  It is thought that a steel sword could cut through a bronze sword with a single blow, yet swords are not mentioned, only chariots.  The place name, Iron, may indicate that this was the only iron smelting facility in existence at this time.  Joshua 6:19, 24; 8:31; 17:16, 18; 19:38; 22:8; Judges 1:19; 4:3, 13.</w:t>
      </w:r>
    </w:p>
  </w:endnote>
  <w:endnote w:id="31">
    <w:p w:rsidR="00501210" w:rsidRDefault="00501210" w:rsidP="006258B2">
      <w:pPr>
        <w:pStyle w:val="Endnote"/>
      </w:pPr>
      <w:r>
        <w:rPr>
          <w:rStyle w:val="EndnoteReference"/>
        </w:rPr>
        <w:endnoteRef/>
      </w:r>
      <w:r>
        <w:t xml:space="preserve"> Joshua 13:13; 15:63; 16:10</w:t>
      </w:r>
      <w:r w:rsidR="00DD442C">
        <w:t>; 17:12, 13; 23:13; Judges 1:19, 21, 27</w:t>
      </w:r>
      <w:r w:rsidR="006258B2">
        <w:t>-36; 2:1-3, 11-13; 3-1-7</w:t>
      </w:r>
    </w:p>
  </w:endnote>
  <w:endnote w:id="32">
    <w:p w:rsidR="00501210" w:rsidRDefault="00501210" w:rsidP="00B57693">
      <w:pPr>
        <w:pStyle w:val="Endnote"/>
      </w:pPr>
      <w:r>
        <w:rPr>
          <w:rStyle w:val="EndnoteReference"/>
        </w:rPr>
        <w:endnoteRef/>
      </w:r>
      <w:r>
        <w:t xml:space="preserve"> </w:t>
      </w:r>
      <w:r w:rsidR="006258B2">
        <w:t>The first battle of Hazor is recorded in Joshua 11:1-13.</w:t>
      </w:r>
      <w:r w:rsidR="00B52B66">
        <w:t xml:space="preserve">  The second battle of Hazor is recorded in Judges Chapters 4 and 5.  It should be clear that Jabin is not a personal name: it is some sort of family (last) name or Canaanite title.  </w:t>
      </w:r>
      <w:r w:rsidR="00B52B66">
        <w:rPr>
          <w:rStyle w:val="text"/>
        </w:rPr>
        <w:t xml:space="preserve">Sisera is most likely a family name as well.  Neither </w:t>
      </w:r>
      <w:r w:rsidR="00B57693">
        <w:rPr>
          <w:rStyle w:val="text"/>
        </w:rPr>
        <w:t>ba</w:t>
      </w:r>
      <w:r w:rsidR="00B52B66">
        <w:rPr>
          <w:rStyle w:val="text"/>
        </w:rPr>
        <w:t xml:space="preserve">ttle was fought </w:t>
      </w:r>
      <w:r w:rsidR="00F2233D">
        <w:rPr>
          <w:rStyle w:val="text"/>
        </w:rPr>
        <w:t>with</w:t>
      </w:r>
      <w:r w:rsidR="00B57693">
        <w:rPr>
          <w:rStyle w:val="text"/>
        </w:rPr>
        <w:t xml:space="preserve">in </w:t>
      </w:r>
      <w:r w:rsidR="00F2233D">
        <w:rPr>
          <w:rStyle w:val="text"/>
        </w:rPr>
        <w:t xml:space="preserve">the city proper of </w:t>
      </w:r>
      <w:r w:rsidR="00B57693">
        <w:rPr>
          <w:rStyle w:val="text"/>
        </w:rPr>
        <w:t xml:space="preserve">Hazor, but both battles led to the eventual conquest of the city.  Hazor was choice real estate and valuable for occupation and reoccupation: as soon as Solomon occupied it, he made it a fortress.  The time span between the first and second battles for Hazor is roughly 171 years.  </w:t>
      </w:r>
      <w:r w:rsidR="00410F6D">
        <w:rPr>
          <w:rStyle w:val="text"/>
        </w:rPr>
        <w:t>Since the time span between the start of the first and second world wars was only 25 years, it does not stretch our credulity to believe that multiple battles were fought over major cities, and that rebuilding immediately followed the cessation of conflict.  Joshua and Judges report to us the exact nature of war and occupation.</w:t>
      </w:r>
    </w:p>
  </w:endnote>
  <w:endnote w:id="33">
    <w:p w:rsidR="00501210" w:rsidRDefault="00501210" w:rsidP="00501210">
      <w:pPr>
        <w:pStyle w:val="Endnote"/>
      </w:pPr>
      <w:r>
        <w:rPr>
          <w:rStyle w:val="EndnoteReference"/>
        </w:rPr>
        <w:endnoteRef/>
      </w:r>
      <w:r>
        <w:t xml:space="preserve"> </w:t>
      </w:r>
      <w:r w:rsidR="006D562B">
        <w:t>Joshua 14:6-14; 15:13-18; 21:12; Judges 1:12-20; 3:9</w:t>
      </w:r>
    </w:p>
  </w:endnote>
  <w:endnote w:id="34">
    <w:p w:rsidR="00AD76EB" w:rsidRDefault="00AD76EB" w:rsidP="00AD76EB">
      <w:pPr>
        <w:pStyle w:val="Endnote"/>
      </w:pPr>
      <w:r>
        <w:rPr>
          <w:rStyle w:val="EndnoteReference"/>
        </w:rPr>
        <w:endnoteRef/>
      </w:r>
      <w:r>
        <w:t xml:space="preserve"> The first </w:t>
      </w:r>
      <w:r w:rsidR="00764D32">
        <w:t>defeat</w:t>
      </w:r>
      <w:r>
        <w:t xml:space="preserve">, at Ai, was relatively minor, lasting only a few days.  The second </w:t>
      </w:r>
      <w:r w:rsidR="00764D32">
        <w:t>defeat</w:t>
      </w:r>
      <w:r>
        <w:t xml:space="preserve">, with the Philistines was colossal, lasting years.  The final </w:t>
      </w:r>
      <w:r w:rsidR="00764D32">
        <w:t>battle</w:t>
      </w:r>
      <w:r>
        <w:t xml:space="preserve">, yet to come, would be nearly </w:t>
      </w:r>
      <w:r w:rsidR="001261DC">
        <w:t>permanent, lasting centuries, even millennia.</w:t>
      </w:r>
    </w:p>
  </w:endnote>
  <w:endnote w:id="35">
    <w:p w:rsidR="00CC2191" w:rsidRDefault="00CC2191" w:rsidP="00CC2191">
      <w:pPr>
        <w:pStyle w:val="Endnote"/>
      </w:pPr>
      <w:r>
        <w:rPr>
          <w:rStyle w:val="EndnoteReference"/>
        </w:rPr>
        <w:endnoteRef/>
      </w:r>
      <w:r>
        <w:t xml:space="preserve"> Psalm 76:8-11, 54-72, especially verse 66; </w:t>
      </w:r>
      <w:r w:rsidR="00DC7AE9">
        <w:t xml:space="preserve">106:34-43; </w:t>
      </w:r>
      <w:r>
        <w:t xml:space="preserve">135:10-12; 136:17-22; </w:t>
      </w:r>
      <w:r w:rsidR="00DC7AE9">
        <w:t>141:7</w:t>
      </w:r>
    </w:p>
  </w:endnote>
  <w:endnote w:id="36">
    <w:p w:rsidR="002712DB" w:rsidRDefault="002712DB" w:rsidP="002712DB">
      <w:pPr>
        <w:pStyle w:val="Endnote"/>
      </w:pPr>
      <w:r>
        <w:rPr>
          <w:rStyle w:val="EndnoteReference"/>
        </w:rPr>
        <w:endnoteRef/>
      </w:r>
      <w:r>
        <w:t xml:space="preserve"> The close of the Council of Florence</w:t>
      </w:r>
    </w:p>
  </w:endnote>
  <w:endnote w:id="37">
    <w:p w:rsidR="004D33F8" w:rsidRDefault="004D33F8" w:rsidP="004D33F8">
      <w:pPr>
        <w:pStyle w:val="Endnote"/>
      </w:pPr>
      <w:r>
        <w:rPr>
          <w:rStyle w:val="EndnoteReference"/>
        </w:rPr>
        <w:endnoteRef/>
      </w:r>
      <w:r>
        <w:t xml:space="preserve"> Genesis Chapters 5; 10</w:t>
      </w:r>
      <w:r w:rsidR="00721A49">
        <w:t xml:space="preserve">; 11 through </w:t>
      </w:r>
      <w:r>
        <w:t xml:space="preserve">50; </w:t>
      </w:r>
      <w:r w:rsidR="00721A49">
        <w:t>Exodus Chapters 1 through 18, especially Moses’ father (Amram: See Exodus 6:20; Number 26:59) mother (</w:t>
      </w:r>
      <w:r w:rsidR="00721A49" w:rsidRPr="00721A49">
        <w:t>Jochebed</w:t>
      </w:r>
      <w:r w:rsidR="00721A49">
        <w:t xml:space="preserve">) and sister (Miriam), as well as Jethro (Moses’ father-in law); </w:t>
      </w:r>
      <w:r>
        <w:t>Psalm 110:4</w:t>
      </w:r>
    </w:p>
  </w:endnote>
  <w:endnote w:id="38">
    <w:p w:rsidR="00DF2C65" w:rsidRDefault="00DF2C65" w:rsidP="005F02D8">
      <w:pPr>
        <w:pStyle w:val="Endnote"/>
      </w:pPr>
      <w:r>
        <w:rPr>
          <w:rStyle w:val="EndnoteReference"/>
        </w:rPr>
        <w:endnoteRef/>
      </w:r>
      <w:r>
        <w:t xml:space="preserve"> </w:t>
      </w:r>
      <w:hyperlink r:id="rId5" w:history="1">
        <w:r w:rsidR="005F02D8" w:rsidRPr="00901CD5">
          <w:rPr>
            <w:rStyle w:val="Hyperlink"/>
          </w:rPr>
          <w:t>http://en.wikipedia.org/wiki/Julius_Wellhausen</w:t>
        </w:r>
      </w:hyperlink>
    </w:p>
  </w:endnote>
  <w:endnote w:id="39">
    <w:p w:rsidR="00C25953" w:rsidRDefault="00C25953" w:rsidP="00524FEF">
      <w:pPr>
        <w:pStyle w:val="Endnote"/>
      </w:pPr>
      <w:r>
        <w:rPr>
          <w:rStyle w:val="EndnoteReference"/>
        </w:rPr>
        <w:endnoteRef/>
      </w:r>
      <w:r>
        <w:t xml:space="preserve"> </w:t>
      </w:r>
      <w:r>
        <w:rPr>
          <w:rStyle w:val="text"/>
        </w:rPr>
        <w:t xml:space="preserve">If you </w:t>
      </w:r>
      <w:r w:rsidRPr="00CB3CFF">
        <w:rPr>
          <w:rStyle w:val="text"/>
        </w:rPr>
        <w:t>have</w:t>
      </w:r>
      <w:r>
        <w:rPr>
          <w:rStyle w:val="text"/>
        </w:rPr>
        <w:t xml:space="preserve"> been </w:t>
      </w:r>
      <w:r w:rsidRPr="00183D84">
        <w:rPr>
          <w:rStyle w:val="text"/>
        </w:rPr>
        <w:t>blessed</w:t>
      </w:r>
      <w:r>
        <w:rPr>
          <w:rStyle w:val="text"/>
        </w:rPr>
        <w:t xml:space="preserve"> or helped by any of these meditations, please repost, share, or use any of them as you wish.  No rights are reserved.  They are designed and intended for your free participation.  They were freely received, and are freely given.  No other permission is required for their 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A70" w:rsidRDefault="009A0A70" w:rsidP="0031344D">
      <w:pPr>
        <w:spacing w:after="0"/>
      </w:pPr>
      <w:r>
        <w:separator/>
      </w:r>
    </w:p>
  </w:footnote>
  <w:footnote w:type="continuationSeparator" w:id="0">
    <w:p w:rsidR="009A0A70" w:rsidRDefault="009A0A70" w:rsidP="0031344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F0FA1"/>
    <w:multiLevelType w:val="hybridMultilevel"/>
    <w:tmpl w:val="7B2809B6"/>
    <w:lvl w:ilvl="0" w:tplc="21B6916C">
      <w:start w:val="1"/>
      <w:numFmt w:val="decimal"/>
      <w:pStyle w:val="Heading2"/>
      <w:lvlText w:val="%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42B55"/>
    <w:multiLevelType w:val="hybridMultilevel"/>
    <w:tmpl w:val="3AA05F00"/>
    <w:lvl w:ilvl="0" w:tplc="9E5A6304">
      <w:start w:val="1"/>
      <w:numFmt w:val="decimal"/>
      <w:pStyle w:val="Heading4"/>
      <w:lvlText w:val="3.1.%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FB5C74"/>
    <w:multiLevelType w:val="hybridMultilevel"/>
    <w:tmpl w:val="FE44FDD2"/>
    <w:lvl w:ilvl="0" w:tplc="7DE8BF78">
      <w:start w:val="1"/>
      <w:numFmt w:val="decimal"/>
      <w:lvlText w:val="3.%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3A0D65"/>
    <w:multiLevelType w:val="multilevel"/>
    <w:tmpl w:val="F65CE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334BCF"/>
    <w:multiLevelType w:val="hybridMultilevel"/>
    <w:tmpl w:val="C5E09B0A"/>
    <w:lvl w:ilvl="0" w:tplc="73B41EF4">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775D1C"/>
    <w:multiLevelType w:val="multilevel"/>
    <w:tmpl w:val="38E883E8"/>
    <w:styleLink w:val="Style1"/>
    <w:lvl w:ilvl="0">
      <w:start w:val="1"/>
      <w:numFmt w:val="lowerLetter"/>
      <w:lvlText w:val="%1."/>
      <w:lvlJc w:val="left"/>
      <w:pPr>
        <w:ind w:left="720" w:hanging="360"/>
      </w:pPr>
      <w:rPr>
        <w:rFonts w:hint="default"/>
      </w:rPr>
    </w:lvl>
    <w:lvl w:ilvl="1">
      <w:start w:val="1"/>
      <w:numFmt w:val="lowerRoman"/>
      <w:lvlText w:val="%2."/>
      <w:lvlJc w:val="left"/>
      <w:pPr>
        <w:ind w:left="1440" w:hanging="360"/>
      </w:p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D894DE2"/>
    <w:multiLevelType w:val="hybridMultilevel"/>
    <w:tmpl w:val="5DE0E770"/>
    <w:lvl w:ilvl="0" w:tplc="0A605A4A">
      <w:start w:val="1"/>
      <w:numFmt w:val="lowerLetter"/>
      <w:pStyle w:val="Heading7"/>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2"/>
  </w:num>
  <w:num w:numId="5">
    <w:abstractNumId w:val="1"/>
  </w:num>
  <w:num w:numId="6">
    <w:abstractNumId w:val="4"/>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3AB"/>
    <w:rsid w:val="0000005F"/>
    <w:rsid w:val="00000DC2"/>
    <w:rsid w:val="00005585"/>
    <w:rsid w:val="00005D9D"/>
    <w:rsid w:val="00006BED"/>
    <w:rsid w:val="00007AE1"/>
    <w:rsid w:val="0001433A"/>
    <w:rsid w:val="00017E84"/>
    <w:rsid w:val="00020E8B"/>
    <w:rsid w:val="00021957"/>
    <w:rsid w:val="000272DB"/>
    <w:rsid w:val="00032947"/>
    <w:rsid w:val="000373CF"/>
    <w:rsid w:val="00040BA6"/>
    <w:rsid w:val="000440A5"/>
    <w:rsid w:val="000445E7"/>
    <w:rsid w:val="00045922"/>
    <w:rsid w:val="00046AF7"/>
    <w:rsid w:val="00050EE0"/>
    <w:rsid w:val="00052571"/>
    <w:rsid w:val="000531D0"/>
    <w:rsid w:val="00057ECE"/>
    <w:rsid w:val="0006467E"/>
    <w:rsid w:val="0006502E"/>
    <w:rsid w:val="00066066"/>
    <w:rsid w:val="00076813"/>
    <w:rsid w:val="000806A3"/>
    <w:rsid w:val="0008107D"/>
    <w:rsid w:val="00083442"/>
    <w:rsid w:val="00083C69"/>
    <w:rsid w:val="00084737"/>
    <w:rsid w:val="000944D1"/>
    <w:rsid w:val="00094C00"/>
    <w:rsid w:val="000A0E41"/>
    <w:rsid w:val="000A4749"/>
    <w:rsid w:val="000A55D2"/>
    <w:rsid w:val="000A67FB"/>
    <w:rsid w:val="000B283C"/>
    <w:rsid w:val="000B514A"/>
    <w:rsid w:val="000C0372"/>
    <w:rsid w:val="000C0BE8"/>
    <w:rsid w:val="000C2B1A"/>
    <w:rsid w:val="000C43A9"/>
    <w:rsid w:val="000C504C"/>
    <w:rsid w:val="000C5E85"/>
    <w:rsid w:val="000C6395"/>
    <w:rsid w:val="000C7329"/>
    <w:rsid w:val="000C74BD"/>
    <w:rsid w:val="000D0E7C"/>
    <w:rsid w:val="000D10E7"/>
    <w:rsid w:val="000D40EB"/>
    <w:rsid w:val="000D5C6A"/>
    <w:rsid w:val="000D5EE5"/>
    <w:rsid w:val="000E0437"/>
    <w:rsid w:val="000E2230"/>
    <w:rsid w:val="000E27EA"/>
    <w:rsid w:val="000E5BE2"/>
    <w:rsid w:val="000E6B6D"/>
    <w:rsid w:val="000F40FE"/>
    <w:rsid w:val="000F4732"/>
    <w:rsid w:val="000F6956"/>
    <w:rsid w:val="00106157"/>
    <w:rsid w:val="001121A6"/>
    <w:rsid w:val="001123AB"/>
    <w:rsid w:val="00116F86"/>
    <w:rsid w:val="0012056A"/>
    <w:rsid w:val="00120C38"/>
    <w:rsid w:val="001236C5"/>
    <w:rsid w:val="0012399B"/>
    <w:rsid w:val="00123D18"/>
    <w:rsid w:val="00123EF5"/>
    <w:rsid w:val="00124749"/>
    <w:rsid w:val="001261DC"/>
    <w:rsid w:val="00130D36"/>
    <w:rsid w:val="00133692"/>
    <w:rsid w:val="001343C0"/>
    <w:rsid w:val="00136B86"/>
    <w:rsid w:val="001373D4"/>
    <w:rsid w:val="0014102E"/>
    <w:rsid w:val="0014163F"/>
    <w:rsid w:val="00143E8A"/>
    <w:rsid w:val="001465EC"/>
    <w:rsid w:val="001470BB"/>
    <w:rsid w:val="0014730A"/>
    <w:rsid w:val="0014744D"/>
    <w:rsid w:val="001477ED"/>
    <w:rsid w:val="00147D22"/>
    <w:rsid w:val="00150003"/>
    <w:rsid w:val="00150038"/>
    <w:rsid w:val="00152D51"/>
    <w:rsid w:val="00153D2F"/>
    <w:rsid w:val="0016036F"/>
    <w:rsid w:val="00164280"/>
    <w:rsid w:val="0017265D"/>
    <w:rsid w:val="00173A9A"/>
    <w:rsid w:val="001742C0"/>
    <w:rsid w:val="001758A4"/>
    <w:rsid w:val="00176278"/>
    <w:rsid w:val="00176531"/>
    <w:rsid w:val="00177E60"/>
    <w:rsid w:val="00183D84"/>
    <w:rsid w:val="0019635C"/>
    <w:rsid w:val="001A03DB"/>
    <w:rsid w:val="001A2500"/>
    <w:rsid w:val="001A3C95"/>
    <w:rsid w:val="001A452E"/>
    <w:rsid w:val="001A5F89"/>
    <w:rsid w:val="001A68F1"/>
    <w:rsid w:val="001B010C"/>
    <w:rsid w:val="001B12FD"/>
    <w:rsid w:val="001B1B27"/>
    <w:rsid w:val="001B241F"/>
    <w:rsid w:val="001B31B1"/>
    <w:rsid w:val="001B56F0"/>
    <w:rsid w:val="001B5ADB"/>
    <w:rsid w:val="001C4684"/>
    <w:rsid w:val="001C5AA3"/>
    <w:rsid w:val="001C65C1"/>
    <w:rsid w:val="001C6C25"/>
    <w:rsid w:val="001D2A89"/>
    <w:rsid w:val="001E27F0"/>
    <w:rsid w:val="001E2978"/>
    <w:rsid w:val="001E4037"/>
    <w:rsid w:val="001E6119"/>
    <w:rsid w:val="001E6FB4"/>
    <w:rsid w:val="001E73B3"/>
    <w:rsid w:val="001F4688"/>
    <w:rsid w:val="001F6705"/>
    <w:rsid w:val="00201FE7"/>
    <w:rsid w:val="00205850"/>
    <w:rsid w:val="00206C4F"/>
    <w:rsid w:val="002070BE"/>
    <w:rsid w:val="00210E2D"/>
    <w:rsid w:val="002130FD"/>
    <w:rsid w:val="00214B42"/>
    <w:rsid w:val="0022025D"/>
    <w:rsid w:val="0022467A"/>
    <w:rsid w:val="00225AA5"/>
    <w:rsid w:val="00225B5B"/>
    <w:rsid w:val="00232CCE"/>
    <w:rsid w:val="002348A9"/>
    <w:rsid w:val="00236A8B"/>
    <w:rsid w:val="002379B9"/>
    <w:rsid w:val="002412AA"/>
    <w:rsid w:val="0024749A"/>
    <w:rsid w:val="00250299"/>
    <w:rsid w:val="00251081"/>
    <w:rsid w:val="00255330"/>
    <w:rsid w:val="00261ADC"/>
    <w:rsid w:val="00262890"/>
    <w:rsid w:val="00264D7D"/>
    <w:rsid w:val="002712DB"/>
    <w:rsid w:val="00271E64"/>
    <w:rsid w:val="00273F6D"/>
    <w:rsid w:val="00274EE5"/>
    <w:rsid w:val="00276D0A"/>
    <w:rsid w:val="002812F9"/>
    <w:rsid w:val="00281757"/>
    <w:rsid w:val="00285033"/>
    <w:rsid w:val="00287BC3"/>
    <w:rsid w:val="0029141A"/>
    <w:rsid w:val="002949B4"/>
    <w:rsid w:val="0029739F"/>
    <w:rsid w:val="002A0BEF"/>
    <w:rsid w:val="002A33BC"/>
    <w:rsid w:val="002A3880"/>
    <w:rsid w:val="002A5055"/>
    <w:rsid w:val="002A5F7B"/>
    <w:rsid w:val="002B02F3"/>
    <w:rsid w:val="002B7DAD"/>
    <w:rsid w:val="002C1739"/>
    <w:rsid w:val="002C20A0"/>
    <w:rsid w:val="002C221B"/>
    <w:rsid w:val="002C7522"/>
    <w:rsid w:val="002C7688"/>
    <w:rsid w:val="002D09EA"/>
    <w:rsid w:val="002D2E6C"/>
    <w:rsid w:val="002D30BA"/>
    <w:rsid w:val="002D419B"/>
    <w:rsid w:val="002D4F4B"/>
    <w:rsid w:val="002D5684"/>
    <w:rsid w:val="002D70DE"/>
    <w:rsid w:val="002E1097"/>
    <w:rsid w:val="002E15B9"/>
    <w:rsid w:val="002E1743"/>
    <w:rsid w:val="002E2C4F"/>
    <w:rsid w:val="002E3F84"/>
    <w:rsid w:val="002F192E"/>
    <w:rsid w:val="002F19B7"/>
    <w:rsid w:val="002F3688"/>
    <w:rsid w:val="002F37E7"/>
    <w:rsid w:val="00303773"/>
    <w:rsid w:val="00303F53"/>
    <w:rsid w:val="003062DD"/>
    <w:rsid w:val="003069EB"/>
    <w:rsid w:val="00310C51"/>
    <w:rsid w:val="00311049"/>
    <w:rsid w:val="00311B9B"/>
    <w:rsid w:val="0031344D"/>
    <w:rsid w:val="0031383E"/>
    <w:rsid w:val="00313899"/>
    <w:rsid w:val="00313ACC"/>
    <w:rsid w:val="003140BA"/>
    <w:rsid w:val="00314DE2"/>
    <w:rsid w:val="00321E95"/>
    <w:rsid w:val="0032751A"/>
    <w:rsid w:val="00327D57"/>
    <w:rsid w:val="00330BFA"/>
    <w:rsid w:val="00333CC5"/>
    <w:rsid w:val="003345F6"/>
    <w:rsid w:val="00334955"/>
    <w:rsid w:val="003350BC"/>
    <w:rsid w:val="00336258"/>
    <w:rsid w:val="00336971"/>
    <w:rsid w:val="00336A65"/>
    <w:rsid w:val="00342910"/>
    <w:rsid w:val="0034594C"/>
    <w:rsid w:val="00352615"/>
    <w:rsid w:val="003538B9"/>
    <w:rsid w:val="00357C4A"/>
    <w:rsid w:val="003610CB"/>
    <w:rsid w:val="00365E6A"/>
    <w:rsid w:val="0036701D"/>
    <w:rsid w:val="00372706"/>
    <w:rsid w:val="00372899"/>
    <w:rsid w:val="00374BE9"/>
    <w:rsid w:val="00375259"/>
    <w:rsid w:val="003758C0"/>
    <w:rsid w:val="0038021D"/>
    <w:rsid w:val="00383B7C"/>
    <w:rsid w:val="0038667B"/>
    <w:rsid w:val="00386952"/>
    <w:rsid w:val="00387704"/>
    <w:rsid w:val="00387CDA"/>
    <w:rsid w:val="00387DA7"/>
    <w:rsid w:val="00387DF6"/>
    <w:rsid w:val="003926A2"/>
    <w:rsid w:val="00394F0C"/>
    <w:rsid w:val="003A177F"/>
    <w:rsid w:val="003A227A"/>
    <w:rsid w:val="003A37D6"/>
    <w:rsid w:val="003A6935"/>
    <w:rsid w:val="003B08C0"/>
    <w:rsid w:val="003B4FAF"/>
    <w:rsid w:val="003C1AA3"/>
    <w:rsid w:val="003C3A10"/>
    <w:rsid w:val="003C47F6"/>
    <w:rsid w:val="003C7DC0"/>
    <w:rsid w:val="003D2A9C"/>
    <w:rsid w:val="003D2DFD"/>
    <w:rsid w:val="003E1E9B"/>
    <w:rsid w:val="003E2183"/>
    <w:rsid w:val="003E3DB5"/>
    <w:rsid w:val="003F0D7E"/>
    <w:rsid w:val="003F2A26"/>
    <w:rsid w:val="003F349B"/>
    <w:rsid w:val="003F750D"/>
    <w:rsid w:val="00405DC3"/>
    <w:rsid w:val="004063D9"/>
    <w:rsid w:val="00410F6D"/>
    <w:rsid w:val="0041674C"/>
    <w:rsid w:val="00420FA0"/>
    <w:rsid w:val="00423135"/>
    <w:rsid w:val="00424599"/>
    <w:rsid w:val="00425722"/>
    <w:rsid w:val="004278EA"/>
    <w:rsid w:val="00431D7F"/>
    <w:rsid w:val="00432718"/>
    <w:rsid w:val="00435439"/>
    <w:rsid w:val="00437AB6"/>
    <w:rsid w:val="004428A0"/>
    <w:rsid w:val="0044343C"/>
    <w:rsid w:val="00444AEA"/>
    <w:rsid w:val="0044512D"/>
    <w:rsid w:val="004470DA"/>
    <w:rsid w:val="0044796C"/>
    <w:rsid w:val="004517EB"/>
    <w:rsid w:val="0045404D"/>
    <w:rsid w:val="004558F1"/>
    <w:rsid w:val="0045603A"/>
    <w:rsid w:val="00456516"/>
    <w:rsid w:val="00465342"/>
    <w:rsid w:val="004656A0"/>
    <w:rsid w:val="00466EEA"/>
    <w:rsid w:val="004670DE"/>
    <w:rsid w:val="004679A5"/>
    <w:rsid w:val="004702AA"/>
    <w:rsid w:val="00473C83"/>
    <w:rsid w:val="004764CF"/>
    <w:rsid w:val="0047672E"/>
    <w:rsid w:val="0048066C"/>
    <w:rsid w:val="0048729E"/>
    <w:rsid w:val="00490659"/>
    <w:rsid w:val="00491083"/>
    <w:rsid w:val="004914E3"/>
    <w:rsid w:val="004929F1"/>
    <w:rsid w:val="004931F1"/>
    <w:rsid w:val="0049492C"/>
    <w:rsid w:val="00494AAC"/>
    <w:rsid w:val="00495A9D"/>
    <w:rsid w:val="00496310"/>
    <w:rsid w:val="0049663B"/>
    <w:rsid w:val="004975BD"/>
    <w:rsid w:val="004A4C56"/>
    <w:rsid w:val="004A5293"/>
    <w:rsid w:val="004B06AF"/>
    <w:rsid w:val="004B0E10"/>
    <w:rsid w:val="004B1054"/>
    <w:rsid w:val="004B5440"/>
    <w:rsid w:val="004B5651"/>
    <w:rsid w:val="004B71FA"/>
    <w:rsid w:val="004C0852"/>
    <w:rsid w:val="004C132F"/>
    <w:rsid w:val="004C30D5"/>
    <w:rsid w:val="004D02E4"/>
    <w:rsid w:val="004D11AE"/>
    <w:rsid w:val="004D29C2"/>
    <w:rsid w:val="004D33F8"/>
    <w:rsid w:val="004D3ABD"/>
    <w:rsid w:val="004D3E8F"/>
    <w:rsid w:val="004E122C"/>
    <w:rsid w:val="004E2AA6"/>
    <w:rsid w:val="004E5E7A"/>
    <w:rsid w:val="004E6085"/>
    <w:rsid w:val="004F170E"/>
    <w:rsid w:val="004F21D2"/>
    <w:rsid w:val="004F3B2F"/>
    <w:rsid w:val="004F46C9"/>
    <w:rsid w:val="004F6C21"/>
    <w:rsid w:val="004F6DCF"/>
    <w:rsid w:val="00501210"/>
    <w:rsid w:val="0050169B"/>
    <w:rsid w:val="00503766"/>
    <w:rsid w:val="0050376B"/>
    <w:rsid w:val="005115F5"/>
    <w:rsid w:val="0051495A"/>
    <w:rsid w:val="00516B7F"/>
    <w:rsid w:val="005241D8"/>
    <w:rsid w:val="00524766"/>
    <w:rsid w:val="00524FEF"/>
    <w:rsid w:val="00532C21"/>
    <w:rsid w:val="0053332D"/>
    <w:rsid w:val="00533A2C"/>
    <w:rsid w:val="00536927"/>
    <w:rsid w:val="00537C29"/>
    <w:rsid w:val="0054461A"/>
    <w:rsid w:val="005529BB"/>
    <w:rsid w:val="005533A6"/>
    <w:rsid w:val="00557B67"/>
    <w:rsid w:val="00557E15"/>
    <w:rsid w:val="00560931"/>
    <w:rsid w:val="00561B88"/>
    <w:rsid w:val="00562090"/>
    <w:rsid w:val="00563979"/>
    <w:rsid w:val="00563EE0"/>
    <w:rsid w:val="00564599"/>
    <w:rsid w:val="00573BB8"/>
    <w:rsid w:val="00575632"/>
    <w:rsid w:val="00575C20"/>
    <w:rsid w:val="005774ED"/>
    <w:rsid w:val="00577E62"/>
    <w:rsid w:val="00580E04"/>
    <w:rsid w:val="00582469"/>
    <w:rsid w:val="0058434A"/>
    <w:rsid w:val="00585C34"/>
    <w:rsid w:val="00585D57"/>
    <w:rsid w:val="00585DDC"/>
    <w:rsid w:val="00587D57"/>
    <w:rsid w:val="00590176"/>
    <w:rsid w:val="0059164A"/>
    <w:rsid w:val="00592C2D"/>
    <w:rsid w:val="005931CF"/>
    <w:rsid w:val="00595ABC"/>
    <w:rsid w:val="00595C60"/>
    <w:rsid w:val="00596928"/>
    <w:rsid w:val="00597054"/>
    <w:rsid w:val="00597BDD"/>
    <w:rsid w:val="005A05FE"/>
    <w:rsid w:val="005A1355"/>
    <w:rsid w:val="005A1A90"/>
    <w:rsid w:val="005A29C7"/>
    <w:rsid w:val="005A354F"/>
    <w:rsid w:val="005A55D9"/>
    <w:rsid w:val="005A6F43"/>
    <w:rsid w:val="005B1BA3"/>
    <w:rsid w:val="005B7E29"/>
    <w:rsid w:val="005C02FD"/>
    <w:rsid w:val="005C2E87"/>
    <w:rsid w:val="005C5916"/>
    <w:rsid w:val="005C627C"/>
    <w:rsid w:val="005C761D"/>
    <w:rsid w:val="005D2EDA"/>
    <w:rsid w:val="005D3297"/>
    <w:rsid w:val="005D415C"/>
    <w:rsid w:val="005D42AA"/>
    <w:rsid w:val="005D6DFF"/>
    <w:rsid w:val="005E4123"/>
    <w:rsid w:val="005E5272"/>
    <w:rsid w:val="005E52BD"/>
    <w:rsid w:val="005F02D8"/>
    <w:rsid w:val="005F242B"/>
    <w:rsid w:val="005F34B8"/>
    <w:rsid w:val="005F4955"/>
    <w:rsid w:val="005F4C8E"/>
    <w:rsid w:val="005F502B"/>
    <w:rsid w:val="005F5518"/>
    <w:rsid w:val="00600A97"/>
    <w:rsid w:val="00601486"/>
    <w:rsid w:val="00601DA5"/>
    <w:rsid w:val="00602B36"/>
    <w:rsid w:val="00606B20"/>
    <w:rsid w:val="00612D5B"/>
    <w:rsid w:val="00613901"/>
    <w:rsid w:val="006152D6"/>
    <w:rsid w:val="00620120"/>
    <w:rsid w:val="006224E9"/>
    <w:rsid w:val="006258B2"/>
    <w:rsid w:val="00635831"/>
    <w:rsid w:val="006364D6"/>
    <w:rsid w:val="00636ABB"/>
    <w:rsid w:val="00636B6F"/>
    <w:rsid w:val="0063740C"/>
    <w:rsid w:val="00640364"/>
    <w:rsid w:val="006417D5"/>
    <w:rsid w:val="00641C89"/>
    <w:rsid w:val="00642090"/>
    <w:rsid w:val="00644718"/>
    <w:rsid w:val="0065105E"/>
    <w:rsid w:val="006521E9"/>
    <w:rsid w:val="0065528D"/>
    <w:rsid w:val="00655DAE"/>
    <w:rsid w:val="00661649"/>
    <w:rsid w:val="0066280F"/>
    <w:rsid w:val="006665EF"/>
    <w:rsid w:val="00672178"/>
    <w:rsid w:val="006734C9"/>
    <w:rsid w:val="006779A9"/>
    <w:rsid w:val="00682554"/>
    <w:rsid w:val="006853BD"/>
    <w:rsid w:val="0068730D"/>
    <w:rsid w:val="00691B11"/>
    <w:rsid w:val="00691FFE"/>
    <w:rsid w:val="006921D9"/>
    <w:rsid w:val="00695379"/>
    <w:rsid w:val="006A1795"/>
    <w:rsid w:val="006A2AA2"/>
    <w:rsid w:val="006A5EF9"/>
    <w:rsid w:val="006A678B"/>
    <w:rsid w:val="006B1136"/>
    <w:rsid w:val="006B69DA"/>
    <w:rsid w:val="006B7AE8"/>
    <w:rsid w:val="006C0180"/>
    <w:rsid w:val="006C1CB0"/>
    <w:rsid w:val="006C4894"/>
    <w:rsid w:val="006C60EE"/>
    <w:rsid w:val="006C6DC7"/>
    <w:rsid w:val="006D1675"/>
    <w:rsid w:val="006D169D"/>
    <w:rsid w:val="006D2579"/>
    <w:rsid w:val="006D2DBC"/>
    <w:rsid w:val="006D4DFF"/>
    <w:rsid w:val="006D562B"/>
    <w:rsid w:val="006D5731"/>
    <w:rsid w:val="006D5858"/>
    <w:rsid w:val="006E0611"/>
    <w:rsid w:val="006E27AE"/>
    <w:rsid w:val="006E322C"/>
    <w:rsid w:val="006E4206"/>
    <w:rsid w:val="006E5C7E"/>
    <w:rsid w:val="006F0C71"/>
    <w:rsid w:val="006F36EA"/>
    <w:rsid w:val="006F38B3"/>
    <w:rsid w:val="006F5706"/>
    <w:rsid w:val="00700465"/>
    <w:rsid w:val="00703DFE"/>
    <w:rsid w:val="00704EEF"/>
    <w:rsid w:val="007058EF"/>
    <w:rsid w:val="0070672E"/>
    <w:rsid w:val="007079CF"/>
    <w:rsid w:val="00712EFD"/>
    <w:rsid w:val="00713F22"/>
    <w:rsid w:val="007170B4"/>
    <w:rsid w:val="007171E6"/>
    <w:rsid w:val="00721A49"/>
    <w:rsid w:val="00723389"/>
    <w:rsid w:val="00731463"/>
    <w:rsid w:val="00731E63"/>
    <w:rsid w:val="007330AE"/>
    <w:rsid w:val="00734AE3"/>
    <w:rsid w:val="007371E6"/>
    <w:rsid w:val="00737EE5"/>
    <w:rsid w:val="0074046D"/>
    <w:rsid w:val="00744B10"/>
    <w:rsid w:val="0075064B"/>
    <w:rsid w:val="00751212"/>
    <w:rsid w:val="0075404E"/>
    <w:rsid w:val="0075522F"/>
    <w:rsid w:val="00764853"/>
    <w:rsid w:val="00764D32"/>
    <w:rsid w:val="00766269"/>
    <w:rsid w:val="007674F9"/>
    <w:rsid w:val="007701D2"/>
    <w:rsid w:val="007730C9"/>
    <w:rsid w:val="0077376A"/>
    <w:rsid w:val="007753F7"/>
    <w:rsid w:val="007761D1"/>
    <w:rsid w:val="00783662"/>
    <w:rsid w:val="00785D4D"/>
    <w:rsid w:val="0078781D"/>
    <w:rsid w:val="0079510F"/>
    <w:rsid w:val="00795A78"/>
    <w:rsid w:val="00797603"/>
    <w:rsid w:val="00797EB3"/>
    <w:rsid w:val="007A17D5"/>
    <w:rsid w:val="007A1EF1"/>
    <w:rsid w:val="007B103B"/>
    <w:rsid w:val="007B22C5"/>
    <w:rsid w:val="007B371B"/>
    <w:rsid w:val="007C1BA5"/>
    <w:rsid w:val="007C2417"/>
    <w:rsid w:val="007C243A"/>
    <w:rsid w:val="007C2964"/>
    <w:rsid w:val="007C34C5"/>
    <w:rsid w:val="007C67B9"/>
    <w:rsid w:val="007C6A11"/>
    <w:rsid w:val="007D128A"/>
    <w:rsid w:val="007D422A"/>
    <w:rsid w:val="007E0338"/>
    <w:rsid w:val="007E1474"/>
    <w:rsid w:val="007F03F4"/>
    <w:rsid w:val="007F5B0C"/>
    <w:rsid w:val="00802A9F"/>
    <w:rsid w:val="00803E3F"/>
    <w:rsid w:val="00804700"/>
    <w:rsid w:val="00805DC9"/>
    <w:rsid w:val="00806D8C"/>
    <w:rsid w:val="0081446D"/>
    <w:rsid w:val="00814E23"/>
    <w:rsid w:val="00815AC9"/>
    <w:rsid w:val="00820954"/>
    <w:rsid w:val="00830D02"/>
    <w:rsid w:val="00834BCB"/>
    <w:rsid w:val="00834CFE"/>
    <w:rsid w:val="00840A1B"/>
    <w:rsid w:val="008410D8"/>
    <w:rsid w:val="00841476"/>
    <w:rsid w:val="0084181C"/>
    <w:rsid w:val="00850F13"/>
    <w:rsid w:val="0085461B"/>
    <w:rsid w:val="00854ACF"/>
    <w:rsid w:val="00854E12"/>
    <w:rsid w:val="00856A46"/>
    <w:rsid w:val="00857314"/>
    <w:rsid w:val="0086391B"/>
    <w:rsid w:val="0086654E"/>
    <w:rsid w:val="008707EA"/>
    <w:rsid w:val="00870AE7"/>
    <w:rsid w:val="008754D8"/>
    <w:rsid w:val="00884F02"/>
    <w:rsid w:val="00887275"/>
    <w:rsid w:val="0088743F"/>
    <w:rsid w:val="008905A4"/>
    <w:rsid w:val="008979A8"/>
    <w:rsid w:val="008A0436"/>
    <w:rsid w:val="008A3595"/>
    <w:rsid w:val="008A5BE7"/>
    <w:rsid w:val="008A5C92"/>
    <w:rsid w:val="008A7F12"/>
    <w:rsid w:val="008C010F"/>
    <w:rsid w:val="008C1F37"/>
    <w:rsid w:val="008C68A0"/>
    <w:rsid w:val="008D2C21"/>
    <w:rsid w:val="008E12DE"/>
    <w:rsid w:val="008E2CA9"/>
    <w:rsid w:val="008E57CD"/>
    <w:rsid w:val="008E662A"/>
    <w:rsid w:val="008E7DF9"/>
    <w:rsid w:val="008F2A41"/>
    <w:rsid w:val="008F3730"/>
    <w:rsid w:val="008F5B63"/>
    <w:rsid w:val="008F794F"/>
    <w:rsid w:val="0090244E"/>
    <w:rsid w:val="00903EB0"/>
    <w:rsid w:val="009043C6"/>
    <w:rsid w:val="00905B42"/>
    <w:rsid w:val="009063D4"/>
    <w:rsid w:val="00906888"/>
    <w:rsid w:val="00906FC6"/>
    <w:rsid w:val="0090722F"/>
    <w:rsid w:val="009075B0"/>
    <w:rsid w:val="00907611"/>
    <w:rsid w:val="00910535"/>
    <w:rsid w:val="00910894"/>
    <w:rsid w:val="009160E9"/>
    <w:rsid w:val="009165BD"/>
    <w:rsid w:val="009268C0"/>
    <w:rsid w:val="00931562"/>
    <w:rsid w:val="00931DFB"/>
    <w:rsid w:val="00933A44"/>
    <w:rsid w:val="00935765"/>
    <w:rsid w:val="00935F19"/>
    <w:rsid w:val="009361DC"/>
    <w:rsid w:val="00936468"/>
    <w:rsid w:val="00936F60"/>
    <w:rsid w:val="00944678"/>
    <w:rsid w:val="0094614C"/>
    <w:rsid w:val="00947793"/>
    <w:rsid w:val="00950296"/>
    <w:rsid w:val="00951C8E"/>
    <w:rsid w:val="009550E8"/>
    <w:rsid w:val="00961500"/>
    <w:rsid w:val="00961F4A"/>
    <w:rsid w:val="0096303C"/>
    <w:rsid w:val="00967D02"/>
    <w:rsid w:val="009703F4"/>
    <w:rsid w:val="00970FEC"/>
    <w:rsid w:val="009737C3"/>
    <w:rsid w:val="00977FB6"/>
    <w:rsid w:val="00982F36"/>
    <w:rsid w:val="0098353F"/>
    <w:rsid w:val="0098636A"/>
    <w:rsid w:val="0098671C"/>
    <w:rsid w:val="009902DD"/>
    <w:rsid w:val="0099279E"/>
    <w:rsid w:val="0099369F"/>
    <w:rsid w:val="00993A91"/>
    <w:rsid w:val="00997A12"/>
    <w:rsid w:val="009A016C"/>
    <w:rsid w:val="009A0A70"/>
    <w:rsid w:val="009A242E"/>
    <w:rsid w:val="009A2E5C"/>
    <w:rsid w:val="009A37C4"/>
    <w:rsid w:val="009A41BC"/>
    <w:rsid w:val="009A619E"/>
    <w:rsid w:val="009B16E3"/>
    <w:rsid w:val="009B3640"/>
    <w:rsid w:val="009B6CBC"/>
    <w:rsid w:val="009B74EB"/>
    <w:rsid w:val="009C31E5"/>
    <w:rsid w:val="009C4BB6"/>
    <w:rsid w:val="009C5526"/>
    <w:rsid w:val="009C70B0"/>
    <w:rsid w:val="009D4D65"/>
    <w:rsid w:val="009D7E45"/>
    <w:rsid w:val="009E5CBE"/>
    <w:rsid w:val="009F48BE"/>
    <w:rsid w:val="009F604D"/>
    <w:rsid w:val="00A0258F"/>
    <w:rsid w:val="00A032F0"/>
    <w:rsid w:val="00A03A35"/>
    <w:rsid w:val="00A03D8D"/>
    <w:rsid w:val="00A1297F"/>
    <w:rsid w:val="00A135A5"/>
    <w:rsid w:val="00A13A48"/>
    <w:rsid w:val="00A13B99"/>
    <w:rsid w:val="00A247D1"/>
    <w:rsid w:val="00A25DED"/>
    <w:rsid w:val="00A27303"/>
    <w:rsid w:val="00A30ED8"/>
    <w:rsid w:val="00A31CFB"/>
    <w:rsid w:val="00A32F0A"/>
    <w:rsid w:val="00A36CF0"/>
    <w:rsid w:val="00A41FEB"/>
    <w:rsid w:val="00A42311"/>
    <w:rsid w:val="00A44921"/>
    <w:rsid w:val="00A455ED"/>
    <w:rsid w:val="00A46788"/>
    <w:rsid w:val="00A47288"/>
    <w:rsid w:val="00A5381C"/>
    <w:rsid w:val="00A623C4"/>
    <w:rsid w:val="00A62BA7"/>
    <w:rsid w:val="00A6479D"/>
    <w:rsid w:val="00A67455"/>
    <w:rsid w:val="00A70179"/>
    <w:rsid w:val="00A71C40"/>
    <w:rsid w:val="00A745D1"/>
    <w:rsid w:val="00A7479F"/>
    <w:rsid w:val="00A74EAC"/>
    <w:rsid w:val="00A834BF"/>
    <w:rsid w:val="00A843E2"/>
    <w:rsid w:val="00A85A2F"/>
    <w:rsid w:val="00A85D8B"/>
    <w:rsid w:val="00A90025"/>
    <w:rsid w:val="00A9235D"/>
    <w:rsid w:val="00A9306A"/>
    <w:rsid w:val="00A94F85"/>
    <w:rsid w:val="00A966B9"/>
    <w:rsid w:val="00AA0F37"/>
    <w:rsid w:val="00AA125B"/>
    <w:rsid w:val="00AA6249"/>
    <w:rsid w:val="00AA7A09"/>
    <w:rsid w:val="00AB2D3A"/>
    <w:rsid w:val="00AB51E9"/>
    <w:rsid w:val="00AC41DC"/>
    <w:rsid w:val="00AC6181"/>
    <w:rsid w:val="00AC6DE1"/>
    <w:rsid w:val="00AD1CE1"/>
    <w:rsid w:val="00AD20DA"/>
    <w:rsid w:val="00AD2C1F"/>
    <w:rsid w:val="00AD3406"/>
    <w:rsid w:val="00AD56E2"/>
    <w:rsid w:val="00AD5E0D"/>
    <w:rsid w:val="00AD76EB"/>
    <w:rsid w:val="00AE1E93"/>
    <w:rsid w:val="00AE3357"/>
    <w:rsid w:val="00AE5C38"/>
    <w:rsid w:val="00AE5CC9"/>
    <w:rsid w:val="00AE63A3"/>
    <w:rsid w:val="00AE67F5"/>
    <w:rsid w:val="00AF0A3A"/>
    <w:rsid w:val="00AF10BF"/>
    <w:rsid w:val="00AF463D"/>
    <w:rsid w:val="00AF464A"/>
    <w:rsid w:val="00AF6A20"/>
    <w:rsid w:val="00B07076"/>
    <w:rsid w:val="00B07519"/>
    <w:rsid w:val="00B101E5"/>
    <w:rsid w:val="00B1079C"/>
    <w:rsid w:val="00B21E24"/>
    <w:rsid w:val="00B22583"/>
    <w:rsid w:val="00B3034A"/>
    <w:rsid w:val="00B36562"/>
    <w:rsid w:val="00B3692A"/>
    <w:rsid w:val="00B37479"/>
    <w:rsid w:val="00B416A7"/>
    <w:rsid w:val="00B42218"/>
    <w:rsid w:val="00B4226C"/>
    <w:rsid w:val="00B42916"/>
    <w:rsid w:val="00B42A00"/>
    <w:rsid w:val="00B42E28"/>
    <w:rsid w:val="00B46633"/>
    <w:rsid w:val="00B46789"/>
    <w:rsid w:val="00B505E3"/>
    <w:rsid w:val="00B526DB"/>
    <w:rsid w:val="00B52B66"/>
    <w:rsid w:val="00B54EE0"/>
    <w:rsid w:val="00B56328"/>
    <w:rsid w:val="00B56E3B"/>
    <w:rsid w:val="00B57546"/>
    <w:rsid w:val="00B57693"/>
    <w:rsid w:val="00B658CF"/>
    <w:rsid w:val="00B661F3"/>
    <w:rsid w:val="00B667FB"/>
    <w:rsid w:val="00B71B60"/>
    <w:rsid w:val="00B73D3C"/>
    <w:rsid w:val="00B74BEA"/>
    <w:rsid w:val="00B75707"/>
    <w:rsid w:val="00B769F1"/>
    <w:rsid w:val="00B80A63"/>
    <w:rsid w:val="00B825F5"/>
    <w:rsid w:val="00B9046A"/>
    <w:rsid w:val="00B91902"/>
    <w:rsid w:val="00B926EB"/>
    <w:rsid w:val="00B940F4"/>
    <w:rsid w:val="00B947AA"/>
    <w:rsid w:val="00B95910"/>
    <w:rsid w:val="00BA04FD"/>
    <w:rsid w:val="00BA157A"/>
    <w:rsid w:val="00BA1DB7"/>
    <w:rsid w:val="00BA2CA5"/>
    <w:rsid w:val="00BA7673"/>
    <w:rsid w:val="00BB3F5A"/>
    <w:rsid w:val="00BB6324"/>
    <w:rsid w:val="00BB7716"/>
    <w:rsid w:val="00BC17F7"/>
    <w:rsid w:val="00BC2BC0"/>
    <w:rsid w:val="00BC3249"/>
    <w:rsid w:val="00BC384C"/>
    <w:rsid w:val="00BC6216"/>
    <w:rsid w:val="00BD1043"/>
    <w:rsid w:val="00BD29B7"/>
    <w:rsid w:val="00BD4D3E"/>
    <w:rsid w:val="00BD5518"/>
    <w:rsid w:val="00BD5B29"/>
    <w:rsid w:val="00BE0DDE"/>
    <w:rsid w:val="00BE0EEE"/>
    <w:rsid w:val="00BE1890"/>
    <w:rsid w:val="00BE21AB"/>
    <w:rsid w:val="00BE2903"/>
    <w:rsid w:val="00BE403A"/>
    <w:rsid w:val="00BE4FC1"/>
    <w:rsid w:val="00BF0561"/>
    <w:rsid w:val="00BF2564"/>
    <w:rsid w:val="00BF40C7"/>
    <w:rsid w:val="00BF4F22"/>
    <w:rsid w:val="00BF7922"/>
    <w:rsid w:val="00C01BCE"/>
    <w:rsid w:val="00C01DF6"/>
    <w:rsid w:val="00C02CFE"/>
    <w:rsid w:val="00C0381D"/>
    <w:rsid w:val="00C04CD8"/>
    <w:rsid w:val="00C12BBD"/>
    <w:rsid w:val="00C16A42"/>
    <w:rsid w:val="00C2194B"/>
    <w:rsid w:val="00C25953"/>
    <w:rsid w:val="00C30494"/>
    <w:rsid w:val="00C317FA"/>
    <w:rsid w:val="00C31F35"/>
    <w:rsid w:val="00C324A3"/>
    <w:rsid w:val="00C41DAA"/>
    <w:rsid w:val="00C4410F"/>
    <w:rsid w:val="00C46E8E"/>
    <w:rsid w:val="00C50DFD"/>
    <w:rsid w:val="00C53AA3"/>
    <w:rsid w:val="00C56FF0"/>
    <w:rsid w:val="00C57372"/>
    <w:rsid w:val="00C575B4"/>
    <w:rsid w:val="00C618D7"/>
    <w:rsid w:val="00C625C6"/>
    <w:rsid w:val="00C62D9E"/>
    <w:rsid w:val="00C63574"/>
    <w:rsid w:val="00C652CC"/>
    <w:rsid w:val="00C74E29"/>
    <w:rsid w:val="00C76393"/>
    <w:rsid w:val="00C81C2F"/>
    <w:rsid w:val="00C861A1"/>
    <w:rsid w:val="00C862E3"/>
    <w:rsid w:val="00C8665D"/>
    <w:rsid w:val="00C910F5"/>
    <w:rsid w:val="00C91D4E"/>
    <w:rsid w:val="00C970AA"/>
    <w:rsid w:val="00CA2160"/>
    <w:rsid w:val="00CA5FD2"/>
    <w:rsid w:val="00CB13D5"/>
    <w:rsid w:val="00CB191F"/>
    <w:rsid w:val="00CB2B77"/>
    <w:rsid w:val="00CB3126"/>
    <w:rsid w:val="00CB3907"/>
    <w:rsid w:val="00CB52A8"/>
    <w:rsid w:val="00CB5CC1"/>
    <w:rsid w:val="00CB63E8"/>
    <w:rsid w:val="00CB64C4"/>
    <w:rsid w:val="00CC0802"/>
    <w:rsid w:val="00CC0B0B"/>
    <w:rsid w:val="00CC1366"/>
    <w:rsid w:val="00CC2191"/>
    <w:rsid w:val="00CC50E4"/>
    <w:rsid w:val="00CD2454"/>
    <w:rsid w:val="00CD27B2"/>
    <w:rsid w:val="00CD2E94"/>
    <w:rsid w:val="00CD4CDC"/>
    <w:rsid w:val="00CE28A7"/>
    <w:rsid w:val="00CE69C6"/>
    <w:rsid w:val="00CF48F9"/>
    <w:rsid w:val="00CF4CB8"/>
    <w:rsid w:val="00CF5E03"/>
    <w:rsid w:val="00D0124D"/>
    <w:rsid w:val="00D014C2"/>
    <w:rsid w:val="00D0204A"/>
    <w:rsid w:val="00D02300"/>
    <w:rsid w:val="00D0251A"/>
    <w:rsid w:val="00D026A7"/>
    <w:rsid w:val="00D0402D"/>
    <w:rsid w:val="00D04B22"/>
    <w:rsid w:val="00D0561D"/>
    <w:rsid w:val="00D13810"/>
    <w:rsid w:val="00D13D37"/>
    <w:rsid w:val="00D170D2"/>
    <w:rsid w:val="00D17254"/>
    <w:rsid w:val="00D173CB"/>
    <w:rsid w:val="00D17B1E"/>
    <w:rsid w:val="00D20B2B"/>
    <w:rsid w:val="00D216BB"/>
    <w:rsid w:val="00D25BC0"/>
    <w:rsid w:val="00D26144"/>
    <w:rsid w:val="00D30063"/>
    <w:rsid w:val="00D30BEF"/>
    <w:rsid w:val="00D3129F"/>
    <w:rsid w:val="00D3180D"/>
    <w:rsid w:val="00D3276B"/>
    <w:rsid w:val="00D42024"/>
    <w:rsid w:val="00D44A48"/>
    <w:rsid w:val="00D451A9"/>
    <w:rsid w:val="00D4549A"/>
    <w:rsid w:val="00D463E6"/>
    <w:rsid w:val="00D46BEF"/>
    <w:rsid w:val="00D5056A"/>
    <w:rsid w:val="00D516D0"/>
    <w:rsid w:val="00D536C8"/>
    <w:rsid w:val="00D54E8C"/>
    <w:rsid w:val="00D5674B"/>
    <w:rsid w:val="00D62453"/>
    <w:rsid w:val="00D6305E"/>
    <w:rsid w:val="00D67012"/>
    <w:rsid w:val="00D6763B"/>
    <w:rsid w:val="00D67F47"/>
    <w:rsid w:val="00D76FFD"/>
    <w:rsid w:val="00D77670"/>
    <w:rsid w:val="00D827A3"/>
    <w:rsid w:val="00D8583F"/>
    <w:rsid w:val="00D938EE"/>
    <w:rsid w:val="00D95539"/>
    <w:rsid w:val="00D96939"/>
    <w:rsid w:val="00DA3CF9"/>
    <w:rsid w:val="00DA4C03"/>
    <w:rsid w:val="00DA51D0"/>
    <w:rsid w:val="00DA734C"/>
    <w:rsid w:val="00DA7679"/>
    <w:rsid w:val="00DB3979"/>
    <w:rsid w:val="00DB401D"/>
    <w:rsid w:val="00DB5523"/>
    <w:rsid w:val="00DB7D11"/>
    <w:rsid w:val="00DB7E5B"/>
    <w:rsid w:val="00DC08DB"/>
    <w:rsid w:val="00DC3237"/>
    <w:rsid w:val="00DC4279"/>
    <w:rsid w:val="00DC5D9F"/>
    <w:rsid w:val="00DC79E4"/>
    <w:rsid w:val="00DC7AE9"/>
    <w:rsid w:val="00DD289C"/>
    <w:rsid w:val="00DD2F61"/>
    <w:rsid w:val="00DD3852"/>
    <w:rsid w:val="00DD3EAA"/>
    <w:rsid w:val="00DD442C"/>
    <w:rsid w:val="00DD477D"/>
    <w:rsid w:val="00DD6038"/>
    <w:rsid w:val="00DD79FD"/>
    <w:rsid w:val="00DE58B4"/>
    <w:rsid w:val="00DE78E0"/>
    <w:rsid w:val="00DF00CC"/>
    <w:rsid w:val="00DF2C65"/>
    <w:rsid w:val="00DF4AE4"/>
    <w:rsid w:val="00DF67E3"/>
    <w:rsid w:val="00DF7DD9"/>
    <w:rsid w:val="00E017D6"/>
    <w:rsid w:val="00E01AE9"/>
    <w:rsid w:val="00E02D03"/>
    <w:rsid w:val="00E04BF5"/>
    <w:rsid w:val="00E1009F"/>
    <w:rsid w:val="00E1231A"/>
    <w:rsid w:val="00E139F9"/>
    <w:rsid w:val="00E15FF4"/>
    <w:rsid w:val="00E20CF3"/>
    <w:rsid w:val="00E21870"/>
    <w:rsid w:val="00E22EBC"/>
    <w:rsid w:val="00E238B4"/>
    <w:rsid w:val="00E23FA1"/>
    <w:rsid w:val="00E241E9"/>
    <w:rsid w:val="00E2565A"/>
    <w:rsid w:val="00E26029"/>
    <w:rsid w:val="00E262C3"/>
    <w:rsid w:val="00E302C1"/>
    <w:rsid w:val="00E30602"/>
    <w:rsid w:val="00E30A4A"/>
    <w:rsid w:val="00E31C3B"/>
    <w:rsid w:val="00E326DD"/>
    <w:rsid w:val="00E327B0"/>
    <w:rsid w:val="00E33509"/>
    <w:rsid w:val="00E34521"/>
    <w:rsid w:val="00E41F15"/>
    <w:rsid w:val="00E42BF5"/>
    <w:rsid w:val="00E43165"/>
    <w:rsid w:val="00E4350E"/>
    <w:rsid w:val="00E4767C"/>
    <w:rsid w:val="00E47FA2"/>
    <w:rsid w:val="00E5180F"/>
    <w:rsid w:val="00E5400B"/>
    <w:rsid w:val="00E55257"/>
    <w:rsid w:val="00E6085B"/>
    <w:rsid w:val="00E60E10"/>
    <w:rsid w:val="00E625B2"/>
    <w:rsid w:val="00E64DEC"/>
    <w:rsid w:val="00E65343"/>
    <w:rsid w:val="00E70329"/>
    <w:rsid w:val="00E70FF5"/>
    <w:rsid w:val="00E71B3A"/>
    <w:rsid w:val="00E71F8D"/>
    <w:rsid w:val="00E72297"/>
    <w:rsid w:val="00E72E93"/>
    <w:rsid w:val="00E741F9"/>
    <w:rsid w:val="00E7714F"/>
    <w:rsid w:val="00E80347"/>
    <w:rsid w:val="00E80460"/>
    <w:rsid w:val="00E808AF"/>
    <w:rsid w:val="00E81271"/>
    <w:rsid w:val="00E81B26"/>
    <w:rsid w:val="00E83BA3"/>
    <w:rsid w:val="00E84385"/>
    <w:rsid w:val="00E86175"/>
    <w:rsid w:val="00E869B1"/>
    <w:rsid w:val="00E953EA"/>
    <w:rsid w:val="00E9704E"/>
    <w:rsid w:val="00E97955"/>
    <w:rsid w:val="00EA2462"/>
    <w:rsid w:val="00EA2F60"/>
    <w:rsid w:val="00EA4D52"/>
    <w:rsid w:val="00EA5BCD"/>
    <w:rsid w:val="00EB6317"/>
    <w:rsid w:val="00EB6EF4"/>
    <w:rsid w:val="00EB7890"/>
    <w:rsid w:val="00EC0C0F"/>
    <w:rsid w:val="00EC22F1"/>
    <w:rsid w:val="00EC57F7"/>
    <w:rsid w:val="00EC69A8"/>
    <w:rsid w:val="00EC6A28"/>
    <w:rsid w:val="00EC7AE2"/>
    <w:rsid w:val="00ED26DA"/>
    <w:rsid w:val="00ED34F7"/>
    <w:rsid w:val="00ED58C7"/>
    <w:rsid w:val="00ED7CA0"/>
    <w:rsid w:val="00EE2648"/>
    <w:rsid w:val="00EE4BBD"/>
    <w:rsid w:val="00EE4C9E"/>
    <w:rsid w:val="00EE5119"/>
    <w:rsid w:val="00EE6043"/>
    <w:rsid w:val="00EE6127"/>
    <w:rsid w:val="00EE63F9"/>
    <w:rsid w:val="00EF3D02"/>
    <w:rsid w:val="00EF4942"/>
    <w:rsid w:val="00F03109"/>
    <w:rsid w:val="00F0578F"/>
    <w:rsid w:val="00F12FF1"/>
    <w:rsid w:val="00F2233D"/>
    <w:rsid w:val="00F23503"/>
    <w:rsid w:val="00F3341B"/>
    <w:rsid w:val="00F34A78"/>
    <w:rsid w:val="00F422BA"/>
    <w:rsid w:val="00F4676E"/>
    <w:rsid w:val="00F50CFA"/>
    <w:rsid w:val="00F53263"/>
    <w:rsid w:val="00F62186"/>
    <w:rsid w:val="00F63909"/>
    <w:rsid w:val="00F6606A"/>
    <w:rsid w:val="00F701BA"/>
    <w:rsid w:val="00F720AE"/>
    <w:rsid w:val="00F7215E"/>
    <w:rsid w:val="00F74024"/>
    <w:rsid w:val="00F760C5"/>
    <w:rsid w:val="00F805FB"/>
    <w:rsid w:val="00F8177F"/>
    <w:rsid w:val="00F8301F"/>
    <w:rsid w:val="00F862C1"/>
    <w:rsid w:val="00F86DE3"/>
    <w:rsid w:val="00F90D7C"/>
    <w:rsid w:val="00F93244"/>
    <w:rsid w:val="00F93CBA"/>
    <w:rsid w:val="00F94027"/>
    <w:rsid w:val="00F94903"/>
    <w:rsid w:val="00F9777B"/>
    <w:rsid w:val="00FA0029"/>
    <w:rsid w:val="00FA0088"/>
    <w:rsid w:val="00FA46DC"/>
    <w:rsid w:val="00FA492C"/>
    <w:rsid w:val="00FA5FCB"/>
    <w:rsid w:val="00FA77C3"/>
    <w:rsid w:val="00FA7B15"/>
    <w:rsid w:val="00FA7F24"/>
    <w:rsid w:val="00FB0088"/>
    <w:rsid w:val="00FB1D6E"/>
    <w:rsid w:val="00FB25C8"/>
    <w:rsid w:val="00FB50D9"/>
    <w:rsid w:val="00FC054A"/>
    <w:rsid w:val="00FC0972"/>
    <w:rsid w:val="00FC1452"/>
    <w:rsid w:val="00FC1796"/>
    <w:rsid w:val="00FC1E68"/>
    <w:rsid w:val="00FC377D"/>
    <w:rsid w:val="00FC6005"/>
    <w:rsid w:val="00FD03FC"/>
    <w:rsid w:val="00FD0DE5"/>
    <w:rsid w:val="00FD1C64"/>
    <w:rsid w:val="00FE0B9F"/>
    <w:rsid w:val="00FE39C0"/>
    <w:rsid w:val="00FE6049"/>
    <w:rsid w:val="00FE7B9E"/>
    <w:rsid w:val="00FF0665"/>
    <w:rsid w:val="00FF3B4D"/>
    <w:rsid w:val="00FF3D04"/>
    <w:rsid w:val="00FF4F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BE707"/>
  <w15:docId w15:val="{A18A0437-9B5D-4812-9769-73B21378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D2E6C"/>
    <w:pPr>
      <w:spacing w:after="120" w:line="240" w:lineRule="auto"/>
    </w:pPr>
    <w:rPr>
      <w:rFonts w:ascii="Times New Roman" w:hAnsi="Times New Roman"/>
      <w:sz w:val="32"/>
    </w:rPr>
  </w:style>
  <w:style w:type="paragraph" w:styleId="Heading1">
    <w:name w:val="heading 1"/>
    <w:basedOn w:val="Normal"/>
    <w:next w:val="Normal"/>
    <w:link w:val="Heading1Char"/>
    <w:uiPriority w:val="9"/>
    <w:qFormat/>
    <w:rsid w:val="000C0372"/>
    <w:pPr>
      <w:keepNext/>
      <w:keepLines/>
      <w:pageBreakBefore/>
      <w:spacing w:after="360"/>
      <w:jc w:val="center"/>
      <w:outlineLvl w:val="0"/>
    </w:pPr>
    <w:rPr>
      <w:rFonts w:eastAsiaTheme="majorEastAsia" w:cstheme="majorBidi"/>
      <w:b/>
      <w:bCs/>
      <w:i/>
      <w:color w:val="000000" w:themeColor="text1"/>
      <w:sz w:val="36"/>
      <w:szCs w:val="28"/>
    </w:rPr>
  </w:style>
  <w:style w:type="paragraph" w:styleId="Heading2">
    <w:name w:val="heading 2"/>
    <w:basedOn w:val="Normal"/>
    <w:next w:val="Heading3"/>
    <w:link w:val="Heading2Char"/>
    <w:uiPriority w:val="9"/>
    <w:unhideWhenUsed/>
    <w:qFormat/>
    <w:rsid w:val="005C5916"/>
    <w:pPr>
      <w:keepLines/>
      <w:numPr>
        <w:numId w:val="3"/>
      </w:numPr>
      <w:outlineLvl w:val="1"/>
    </w:pPr>
    <w:rPr>
      <w:rFonts w:eastAsiaTheme="majorEastAsia" w:cstheme="majorBidi"/>
      <w:bCs/>
      <w:color w:val="000000" w:themeColor="text1"/>
      <w:szCs w:val="26"/>
    </w:rPr>
  </w:style>
  <w:style w:type="paragraph" w:styleId="Heading3">
    <w:name w:val="heading 3"/>
    <w:basedOn w:val="Normal"/>
    <w:next w:val="Heading4"/>
    <w:link w:val="Heading3Char"/>
    <w:uiPriority w:val="9"/>
    <w:unhideWhenUsed/>
    <w:qFormat/>
    <w:rsid w:val="002D2E6C"/>
    <w:pPr>
      <w:shd w:val="clear" w:color="auto" w:fill="FFFFFF"/>
      <w:spacing w:before="180" w:after="240"/>
      <w:outlineLvl w:val="2"/>
    </w:pPr>
    <w:rPr>
      <w:rFonts w:ascii="Arial" w:eastAsiaTheme="majorEastAsia" w:hAnsi="Arial" w:cs="Arial"/>
      <w:b/>
      <w:bCs/>
      <w:i/>
      <w:color w:val="222222"/>
      <w:sz w:val="40"/>
      <w:szCs w:val="36"/>
    </w:rPr>
  </w:style>
  <w:style w:type="paragraph" w:styleId="Heading4">
    <w:name w:val="heading 4"/>
    <w:basedOn w:val="Normal"/>
    <w:link w:val="Heading4Char"/>
    <w:uiPriority w:val="9"/>
    <w:unhideWhenUsed/>
    <w:qFormat/>
    <w:rsid w:val="00BE21AB"/>
    <w:pPr>
      <w:keepNext/>
      <w:keepLines/>
      <w:numPr>
        <w:numId w:val="5"/>
      </w:numPr>
      <w:tabs>
        <w:tab w:val="left" w:pos="720"/>
        <w:tab w:val="left" w:pos="900"/>
        <w:tab w:val="left" w:pos="1080"/>
        <w:tab w:val="left" w:pos="1260"/>
        <w:tab w:val="left" w:pos="1440"/>
      </w:tabs>
      <w:ind w:left="360"/>
      <w:outlineLvl w:val="3"/>
    </w:pPr>
    <w:rPr>
      <w:rFonts w:eastAsiaTheme="majorEastAsia" w:cstheme="majorBidi"/>
      <w:bCs/>
      <w:iCs/>
      <w:color w:val="000000" w:themeColor="text1"/>
    </w:rPr>
  </w:style>
  <w:style w:type="paragraph" w:styleId="Heading7">
    <w:name w:val="heading 7"/>
    <w:basedOn w:val="Normal"/>
    <w:link w:val="Heading7Char"/>
    <w:uiPriority w:val="9"/>
    <w:unhideWhenUsed/>
    <w:qFormat/>
    <w:rsid w:val="00931DFB"/>
    <w:pPr>
      <w:keepLines/>
      <w:numPr>
        <w:numId w:val="2"/>
      </w:numPr>
      <w:tabs>
        <w:tab w:val="left" w:pos="3960"/>
        <w:tab w:val="left" w:pos="7560"/>
        <w:tab w:val="left" w:pos="9000"/>
      </w:tabs>
      <w:contextualSpacing/>
      <w:outlineLvl w:val="6"/>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5916"/>
    <w:rPr>
      <w:rFonts w:ascii="Times New Roman" w:eastAsiaTheme="majorEastAsia" w:hAnsi="Times New Roman" w:cstheme="majorBidi"/>
      <w:bCs/>
      <w:color w:val="000000" w:themeColor="text1"/>
      <w:sz w:val="24"/>
      <w:szCs w:val="26"/>
    </w:rPr>
  </w:style>
  <w:style w:type="character" w:customStyle="1" w:styleId="Heading1Char">
    <w:name w:val="Heading 1 Char"/>
    <w:basedOn w:val="DefaultParagraphFont"/>
    <w:link w:val="Heading1"/>
    <w:uiPriority w:val="9"/>
    <w:rsid w:val="000C0372"/>
    <w:rPr>
      <w:rFonts w:ascii="Bookman Old Style" w:eastAsiaTheme="majorEastAsia" w:hAnsi="Bookman Old Style" w:cstheme="majorBidi"/>
      <w:b/>
      <w:bCs/>
      <w:i/>
      <w:color w:val="000000" w:themeColor="text1"/>
      <w:sz w:val="36"/>
      <w:szCs w:val="28"/>
    </w:rPr>
  </w:style>
  <w:style w:type="character" w:customStyle="1" w:styleId="Heading3Char">
    <w:name w:val="Heading 3 Char"/>
    <w:basedOn w:val="DefaultParagraphFont"/>
    <w:link w:val="Heading3"/>
    <w:uiPriority w:val="9"/>
    <w:rsid w:val="002D2E6C"/>
    <w:rPr>
      <w:rFonts w:ascii="Arial" w:eastAsiaTheme="majorEastAsia" w:hAnsi="Arial" w:cs="Arial"/>
      <w:b/>
      <w:bCs/>
      <w:i/>
      <w:color w:val="222222"/>
      <w:sz w:val="40"/>
      <w:szCs w:val="36"/>
      <w:shd w:val="clear" w:color="auto" w:fill="FFFFFF"/>
    </w:rPr>
  </w:style>
  <w:style w:type="character" w:customStyle="1" w:styleId="Heading4Char">
    <w:name w:val="Heading 4 Char"/>
    <w:basedOn w:val="DefaultParagraphFont"/>
    <w:link w:val="Heading4"/>
    <w:uiPriority w:val="9"/>
    <w:rsid w:val="00BE21AB"/>
    <w:rPr>
      <w:rFonts w:ascii="Times New Roman" w:eastAsiaTheme="majorEastAsia" w:hAnsi="Times New Roman" w:cstheme="majorBidi"/>
      <w:bCs/>
      <w:iCs/>
      <w:color w:val="000000" w:themeColor="text1"/>
      <w:sz w:val="24"/>
    </w:rPr>
  </w:style>
  <w:style w:type="character" w:customStyle="1" w:styleId="Heading7Char">
    <w:name w:val="Heading 7 Char"/>
    <w:basedOn w:val="DefaultParagraphFont"/>
    <w:link w:val="Heading7"/>
    <w:uiPriority w:val="9"/>
    <w:rsid w:val="00931DFB"/>
    <w:rPr>
      <w:rFonts w:ascii="Times New Roman" w:eastAsiaTheme="majorEastAsia" w:hAnsi="Times New Roman" w:cstheme="majorBidi"/>
      <w:i/>
      <w:iCs/>
      <w:color w:val="000000" w:themeColor="text1"/>
      <w:sz w:val="24"/>
    </w:rPr>
  </w:style>
  <w:style w:type="numbering" w:customStyle="1" w:styleId="Style1">
    <w:name w:val="Style1"/>
    <w:uiPriority w:val="99"/>
    <w:rsid w:val="00CC1366"/>
    <w:pPr>
      <w:numPr>
        <w:numId w:val="1"/>
      </w:numPr>
    </w:pPr>
  </w:style>
  <w:style w:type="paragraph" w:styleId="BalloonText">
    <w:name w:val="Balloon Text"/>
    <w:basedOn w:val="Normal"/>
    <w:link w:val="BalloonTextChar"/>
    <w:uiPriority w:val="99"/>
    <w:semiHidden/>
    <w:unhideWhenUsed/>
    <w:rsid w:val="000C037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372"/>
    <w:rPr>
      <w:rFonts w:ascii="Tahoma" w:hAnsi="Tahoma" w:cs="Tahoma"/>
      <w:sz w:val="16"/>
      <w:szCs w:val="16"/>
    </w:rPr>
  </w:style>
  <w:style w:type="paragraph" w:customStyle="1" w:styleId="comment-content1">
    <w:name w:val="comment-content1"/>
    <w:basedOn w:val="Normal"/>
    <w:rsid w:val="00C76393"/>
    <w:pPr>
      <w:spacing w:after="89"/>
      <w:jc w:val="both"/>
    </w:pPr>
    <w:rPr>
      <w:rFonts w:eastAsia="Times New Roman" w:cs="Times New Roman"/>
      <w:szCs w:val="24"/>
    </w:rPr>
  </w:style>
  <w:style w:type="character" w:styleId="Emphasis">
    <w:name w:val="Emphasis"/>
    <w:basedOn w:val="DefaultParagraphFont"/>
    <w:uiPriority w:val="20"/>
    <w:qFormat/>
    <w:rsid w:val="00B416A7"/>
    <w:rPr>
      <w:rFonts w:ascii="Segoe UI Semibold" w:hAnsi="Segoe UI Semibold"/>
      <w:iCs/>
      <w:sz w:val="28"/>
    </w:rPr>
  </w:style>
  <w:style w:type="paragraph" w:styleId="NormalWeb">
    <w:name w:val="Normal (Web)"/>
    <w:basedOn w:val="Normal"/>
    <w:uiPriority w:val="99"/>
    <w:semiHidden/>
    <w:unhideWhenUsed/>
    <w:rsid w:val="00D173CB"/>
    <w:pPr>
      <w:spacing w:before="100" w:beforeAutospacing="1" w:after="100" w:afterAutospacing="1"/>
    </w:pPr>
    <w:rPr>
      <w:rFonts w:eastAsia="Times New Roman" w:cs="Times New Roman"/>
      <w:szCs w:val="24"/>
    </w:rPr>
  </w:style>
  <w:style w:type="character" w:customStyle="1" w:styleId="text">
    <w:name w:val="text"/>
    <w:basedOn w:val="DefaultParagraphFont"/>
    <w:rsid w:val="00D173CB"/>
  </w:style>
  <w:style w:type="paragraph" w:styleId="EndnoteText">
    <w:name w:val="endnote text"/>
    <w:basedOn w:val="Normal"/>
    <w:link w:val="EndnoteTextChar"/>
    <w:uiPriority w:val="99"/>
    <w:semiHidden/>
    <w:unhideWhenUsed/>
    <w:rsid w:val="0031344D"/>
    <w:pPr>
      <w:spacing w:after="0"/>
    </w:pPr>
    <w:rPr>
      <w:sz w:val="20"/>
      <w:szCs w:val="20"/>
    </w:rPr>
  </w:style>
  <w:style w:type="character" w:customStyle="1" w:styleId="EndnoteTextChar">
    <w:name w:val="Endnote Text Char"/>
    <w:basedOn w:val="DefaultParagraphFont"/>
    <w:link w:val="EndnoteText"/>
    <w:uiPriority w:val="99"/>
    <w:semiHidden/>
    <w:rsid w:val="0031344D"/>
    <w:rPr>
      <w:rFonts w:ascii="Times New Roman" w:hAnsi="Times New Roman"/>
      <w:sz w:val="20"/>
      <w:szCs w:val="20"/>
    </w:rPr>
  </w:style>
  <w:style w:type="character" w:styleId="EndnoteReference">
    <w:name w:val="endnote reference"/>
    <w:basedOn w:val="DefaultParagraphFont"/>
    <w:uiPriority w:val="99"/>
    <w:semiHidden/>
    <w:unhideWhenUsed/>
    <w:rsid w:val="0031344D"/>
    <w:rPr>
      <w:vertAlign w:val="superscript"/>
    </w:rPr>
  </w:style>
  <w:style w:type="character" w:styleId="Hyperlink">
    <w:name w:val="Hyperlink"/>
    <w:basedOn w:val="DefaultParagraphFont"/>
    <w:uiPriority w:val="99"/>
    <w:unhideWhenUsed/>
    <w:rsid w:val="00536927"/>
    <w:rPr>
      <w:color w:val="0000FF"/>
      <w:u w:val="single"/>
    </w:rPr>
  </w:style>
  <w:style w:type="character" w:styleId="Strong">
    <w:name w:val="Strong"/>
    <w:basedOn w:val="DefaultParagraphFont"/>
    <w:uiPriority w:val="22"/>
    <w:qFormat/>
    <w:rsid w:val="00967D02"/>
    <w:rPr>
      <w:b/>
      <w:bCs/>
    </w:rPr>
  </w:style>
  <w:style w:type="character" w:customStyle="1" w:styleId="fn">
    <w:name w:val="fn"/>
    <w:basedOn w:val="DefaultParagraphFont"/>
    <w:rsid w:val="00133692"/>
  </w:style>
  <w:style w:type="paragraph" w:styleId="ListParagraph">
    <w:name w:val="List Paragraph"/>
    <w:basedOn w:val="Normal"/>
    <w:uiPriority w:val="34"/>
    <w:qFormat/>
    <w:rsid w:val="00DA51D0"/>
    <w:pPr>
      <w:ind w:left="720"/>
      <w:contextualSpacing/>
    </w:pPr>
  </w:style>
  <w:style w:type="paragraph" w:styleId="FootnoteText">
    <w:name w:val="footnote text"/>
    <w:basedOn w:val="Normal"/>
    <w:link w:val="FootnoteTextChar"/>
    <w:uiPriority w:val="99"/>
    <w:semiHidden/>
    <w:unhideWhenUsed/>
    <w:rsid w:val="00E26029"/>
    <w:pPr>
      <w:spacing w:after="0"/>
      <w:jc w:val="both"/>
    </w:pPr>
    <w:rPr>
      <w:rFonts w:ascii="Bookman Old Style" w:hAnsi="Bookman Old Style" w:cs="Times New Roman"/>
      <w:sz w:val="20"/>
      <w:szCs w:val="20"/>
    </w:rPr>
  </w:style>
  <w:style w:type="character" w:customStyle="1" w:styleId="FootnoteTextChar">
    <w:name w:val="Footnote Text Char"/>
    <w:basedOn w:val="DefaultParagraphFont"/>
    <w:link w:val="FootnoteText"/>
    <w:uiPriority w:val="99"/>
    <w:semiHidden/>
    <w:rsid w:val="00E26029"/>
    <w:rPr>
      <w:rFonts w:ascii="Bookman Old Style" w:hAnsi="Bookman Old Style" w:cs="Times New Roman"/>
      <w:sz w:val="20"/>
      <w:szCs w:val="20"/>
    </w:rPr>
  </w:style>
  <w:style w:type="character" w:styleId="FootnoteReference">
    <w:name w:val="footnote reference"/>
    <w:basedOn w:val="DefaultParagraphFont"/>
    <w:uiPriority w:val="99"/>
    <w:semiHidden/>
    <w:unhideWhenUsed/>
    <w:rsid w:val="00E26029"/>
    <w:rPr>
      <w:vertAlign w:val="superscript"/>
    </w:rPr>
  </w:style>
  <w:style w:type="paragraph" w:customStyle="1" w:styleId="chapter-2">
    <w:name w:val="chapter-2"/>
    <w:basedOn w:val="Normal"/>
    <w:rsid w:val="00FA492C"/>
    <w:pPr>
      <w:spacing w:before="100" w:beforeAutospacing="1" w:after="100" w:afterAutospacing="1"/>
    </w:pPr>
    <w:rPr>
      <w:rFonts w:eastAsia="Times New Roman" w:cs="Times New Roman"/>
      <w:szCs w:val="24"/>
    </w:rPr>
  </w:style>
  <w:style w:type="character" w:customStyle="1" w:styleId="small-caps">
    <w:name w:val="small-caps"/>
    <w:basedOn w:val="DefaultParagraphFont"/>
    <w:rsid w:val="00FA492C"/>
  </w:style>
  <w:style w:type="paragraph" w:customStyle="1" w:styleId="Endnote">
    <w:name w:val="Endnote"/>
    <w:basedOn w:val="EndnoteText"/>
    <w:link w:val="EndnoteChar"/>
    <w:qFormat/>
    <w:rsid w:val="00183D84"/>
    <w:pPr>
      <w:spacing w:after="60"/>
      <w:jc w:val="both"/>
    </w:pPr>
    <w:rPr>
      <w:sz w:val="28"/>
      <w:lang w:bidi="en-US"/>
    </w:rPr>
  </w:style>
  <w:style w:type="character" w:customStyle="1" w:styleId="EndnoteChar">
    <w:name w:val="Endnote Char"/>
    <w:basedOn w:val="EndnoteTextChar"/>
    <w:link w:val="Endnote"/>
    <w:rsid w:val="00183D84"/>
    <w:rPr>
      <w:rFonts w:ascii="Times New Roman" w:hAnsi="Times New Roman"/>
      <w:sz w:val="28"/>
      <w:szCs w:val="20"/>
      <w:lang w:bidi="en-US"/>
    </w:rPr>
  </w:style>
  <w:style w:type="paragraph" w:styleId="Title">
    <w:name w:val="Title"/>
    <w:basedOn w:val="Normal"/>
    <w:link w:val="TitleChar"/>
    <w:qFormat/>
    <w:rsid w:val="00D0251A"/>
    <w:pPr>
      <w:spacing w:after="60"/>
      <w:jc w:val="center"/>
      <w:outlineLvl w:val="0"/>
    </w:pPr>
    <w:rPr>
      <w:rFonts w:ascii="Arial" w:eastAsia="Times New Roman" w:hAnsi="Arial" w:cs="Arial"/>
      <w:b/>
      <w:bCs/>
      <w:kern w:val="28"/>
      <w:szCs w:val="32"/>
      <w:u w:val="thick"/>
    </w:rPr>
  </w:style>
  <w:style w:type="character" w:customStyle="1" w:styleId="TitleChar">
    <w:name w:val="Title Char"/>
    <w:basedOn w:val="DefaultParagraphFont"/>
    <w:link w:val="Title"/>
    <w:rsid w:val="00D0251A"/>
    <w:rPr>
      <w:rFonts w:ascii="Arial" w:eastAsia="Times New Roman" w:hAnsi="Arial" w:cs="Arial"/>
      <w:b/>
      <w:bCs/>
      <w:kern w:val="28"/>
      <w:sz w:val="32"/>
      <w:szCs w:val="32"/>
      <w:u w:val="thick"/>
    </w:rPr>
  </w:style>
  <w:style w:type="character" w:customStyle="1" w:styleId="mw-poem-indented">
    <w:name w:val="mw-poem-indented"/>
    <w:basedOn w:val="DefaultParagraphFont"/>
    <w:rsid w:val="00DF7DD9"/>
  </w:style>
  <w:style w:type="character" w:customStyle="1" w:styleId="reference-text">
    <w:name w:val="reference-text"/>
    <w:basedOn w:val="DefaultParagraphFont"/>
    <w:rsid w:val="006A678B"/>
  </w:style>
  <w:style w:type="character" w:customStyle="1" w:styleId="mw-mmv-title">
    <w:name w:val="mw-mmv-title"/>
    <w:basedOn w:val="DefaultParagraphFont"/>
    <w:rsid w:val="00EA5BCD"/>
  </w:style>
  <w:style w:type="character" w:customStyle="1" w:styleId="textexposedhide4">
    <w:name w:val="text_exposed_hide4"/>
    <w:basedOn w:val="DefaultParagraphFont"/>
    <w:rsid w:val="00B667FB"/>
  </w:style>
  <w:style w:type="character" w:customStyle="1" w:styleId="textexposedshow2">
    <w:name w:val="text_exposed_show2"/>
    <w:basedOn w:val="DefaultParagraphFont"/>
    <w:rsid w:val="00B667FB"/>
    <w:rPr>
      <w:vanish/>
      <w:webHidden w:val="0"/>
      <w:specVanish w:val="0"/>
    </w:rPr>
  </w:style>
  <w:style w:type="character" w:customStyle="1" w:styleId="ya-q-full-text">
    <w:name w:val="ya-q-full-text"/>
    <w:basedOn w:val="DefaultParagraphFont"/>
    <w:rsid w:val="00FA46DC"/>
  </w:style>
  <w:style w:type="paragraph" w:styleId="Quote">
    <w:name w:val="Quote"/>
    <w:basedOn w:val="Normal"/>
    <w:next w:val="Normal"/>
    <w:link w:val="QuoteChar"/>
    <w:uiPriority w:val="29"/>
    <w:qFormat/>
    <w:rsid w:val="008C1F37"/>
    <w:pPr>
      <w:tabs>
        <w:tab w:val="left" w:pos="1080"/>
      </w:tabs>
      <w:ind w:left="720" w:right="720"/>
    </w:pPr>
  </w:style>
  <w:style w:type="character" w:customStyle="1" w:styleId="QuoteChar">
    <w:name w:val="Quote Char"/>
    <w:basedOn w:val="DefaultParagraphFont"/>
    <w:link w:val="Quote"/>
    <w:uiPriority w:val="29"/>
    <w:rsid w:val="008C1F37"/>
    <w:rPr>
      <w:rFonts w:ascii="Times New Roman" w:hAnsi="Times New Roman"/>
      <w:sz w:val="32"/>
    </w:rPr>
  </w:style>
  <w:style w:type="character" w:customStyle="1" w:styleId="a-size-large1">
    <w:name w:val="a-size-large1"/>
    <w:basedOn w:val="DefaultParagraphFont"/>
    <w:rsid w:val="00C861A1"/>
    <w:rPr>
      <w:rFonts w:ascii="Arial" w:hAnsi="Arial" w:cs="Arial" w:hint="default"/>
    </w:rPr>
  </w:style>
  <w:style w:type="character" w:styleId="Mention">
    <w:name w:val="Mention"/>
    <w:basedOn w:val="DefaultParagraphFont"/>
    <w:uiPriority w:val="99"/>
    <w:semiHidden/>
    <w:unhideWhenUsed/>
    <w:rsid w:val="00274EE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99491">
      <w:bodyDiv w:val="1"/>
      <w:marLeft w:val="0"/>
      <w:marRight w:val="0"/>
      <w:marTop w:val="0"/>
      <w:marBottom w:val="0"/>
      <w:divBdr>
        <w:top w:val="none" w:sz="0" w:space="0" w:color="auto"/>
        <w:left w:val="none" w:sz="0" w:space="0" w:color="auto"/>
        <w:bottom w:val="none" w:sz="0" w:space="0" w:color="auto"/>
        <w:right w:val="none" w:sz="0" w:space="0" w:color="auto"/>
      </w:divBdr>
      <w:divsChild>
        <w:div w:id="1023635103">
          <w:marLeft w:val="0"/>
          <w:marRight w:val="0"/>
          <w:marTop w:val="0"/>
          <w:marBottom w:val="0"/>
          <w:divBdr>
            <w:top w:val="none" w:sz="0" w:space="0" w:color="auto"/>
            <w:left w:val="none" w:sz="0" w:space="0" w:color="auto"/>
            <w:bottom w:val="none" w:sz="0" w:space="0" w:color="auto"/>
            <w:right w:val="none" w:sz="0" w:space="0" w:color="auto"/>
          </w:divBdr>
          <w:divsChild>
            <w:div w:id="1682506977">
              <w:marLeft w:val="0"/>
              <w:marRight w:val="0"/>
              <w:marTop w:val="0"/>
              <w:marBottom w:val="0"/>
              <w:divBdr>
                <w:top w:val="none" w:sz="0" w:space="0" w:color="auto"/>
                <w:left w:val="none" w:sz="0" w:space="0" w:color="auto"/>
                <w:bottom w:val="none" w:sz="0" w:space="0" w:color="auto"/>
                <w:right w:val="none" w:sz="0" w:space="0" w:color="auto"/>
              </w:divBdr>
              <w:divsChild>
                <w:div w:id="276571798">
                  <w:marLeft w:val="0"/>
                  <w:marRight w:val="0"/>
                  <w:marTop w:val="0"/>
                  <w:marBottom w:val="0"/>
                  <w:divBdr>
                    <w:top w:val="none" w:sz="0" w:space="0" w:color="auto"/>
                    <w:left w:val="none" w:sz="0" w:space="0" w:color="auto"/>
                    <w:bottom w:val="none" w:sz="0" w:space="0" w:color="auto"/>
                    <w:right w:val="none" w:sz="0" w:space="0" w:color="auto"/>
                  </w:divBdr>
                  <w:divsChild>
                    <w:div w:id="1920021124">
                      <w:marLeft w:val="0"/>
                      <w:marRight w:val="0"/>
                      <w:marTop w:val="0"/>
                      <w:marBottom w:val="0"/>
                      <w:divBdr>
                        <w:top w:val="none" w:sz="0" w:space="0" w:color="auto"/>
                        <w:left w:val="none" w:sz="0" w:space="0" w:color="auto"/>
                        <w:bottom w:val="none" w:sz="0" w:space="0" w:color="auto"/>
                        <w:right w:val="none" w:sz="0" w:space="0" w:color="auto"/>
                      </w:divBdr>
                      <w:divsChild>
                        <w:div w:id="715853297">
                          <w:marLeft w:val="0"/>
                          <w:marRight w:val="0"/>
                          <w:marTop w:val="0"/>
                          <w:marBottom w:val="0"/>
                          <w:divBdr>
                            <w:top w:val="none" w:sz="0" w:space="0" w:color="auto"/>
                            <w:left w:val="none" w:sz="0" w:space="0" w:color="auto"/>
                            <w:bottom w:val="none" w:sz="0" w:space="0" w:color="auto"/>
                            <w:right w:val="none" w:sz="0" w:space="0" w:color="auto"/>
                          </w:divBdr>
                          <w:divsChild>
                            <w:div w:id="1484807683">
                              <w:marLeft w:val="0"/>
                              <w:marRight w:val="0"/>
                              <w:marTop w:val="0"/>
                              <w:marBottom w:val="0"/>
                              <w:divBdr>
                                <w:top w:val="none" w:sz="0" w:space="0" w:color="auto"/>
                                <w:left w:val="none" w:sz="0" w:space="0" w:color="auto"/>
                                <w:bottom w:val="none" w:sz="0" w:space="0" w:color="auto"/>
                                <w:right w:val="none" w:sz="0" w:space="0" w:color="auto"/>
                              </w:divBdr>
                              <w:divsChild>
                                <w:div w:id="792091817">
                                  <w:marLeft w:val="0"/>
                                  <w:marRight w:val="0"/>
                                  <w:marTop w:val="0"/>
                                  <w:marBottom w:val="0"/>
                                  <w:divBdr>
                                    <w:top w:val="none" w:sz="0" w:space="0" w:color="auto"/>
                                    <w:left w:val="none" w:sz="0" w:space="0" w:color="auto"/>
                                    <w:bottom w:val="none" w:sz="0" w:space="0" w:color="auto"/>
                                    <w:right w:val="none" w:sz="0" w:space="0" w:color="auto"/>
                                  </w:divBdr>
                                  <w:divsChild>
                                    <w:div w:id="174343154">
                                      <w:marLeft w:val="0"/>
                                      <w:marRight w:val="0"/>
                                      <w:marTop w:val="0"/>
                                      <w:marBottom w:val="0"/>
                                      <w:divBdr>
                                        <w:top w:val="none" w:sz="0" w:space="0" w:color="auto"/>
                                        <w:left w:val="none" w:sz="0" w:space="0" w:color="auto"/>
                                        <w:bottom w:val="none" w:sz="0" w:space="0" w:color="auto"/>
                                        <w:right w:val="none" w:sz="0" w:space="0" w:color="auto"/>
                                      </w:divBdr>
                                      <w:divsChild>
                                        <w:div w:id="372970077">
                                          <w:marLeft w:val="0"/>
                                          <w:marRight w:val="0"/>
                                          <w:marTop w:val="0"/>
                                          <w:marBottom w:val="0"/>
                                          <w:divBdr>
                                            <w:top w:val="none" w:sz="0" w:space="0" w:color="auto"/>
                                            <w:left w:val="none" w:sz="0" w:space="0" w:color="auto"/>
                                            <w:bottom w:val="none" w:sz="0" w:space="0" w:color="auto"/>
                                            <w:right w:val="none" w:sz="0" w:space="0" w:color="auto"/>
                                          </w:divBdr>
                                          <w:divsChild>
                                            <w:div w:id="1412193641">
                                              <w:marLeft w:val="0"/>
                                              <w:marRight w:val="0"/>
                                              <w:marTop w:val="0"/>
                                              <w:marBottom w:val="0"/>
                                              <w:divBdr>
                                                <w:top w:val="none" w:sz="0" w:space="0" w:color="auto"/>
                                                <w:left w:val="none" w:sz="0" w:space="0" w:color="auto"/>
                                                <w:bottom w:val="none" w:sz="0" w:space="0" w:color="auto"/>
                                                <w:right w:val="none" w:sz="0" w:space="0" w:color="auto"/>
                                              </w:divBdr>
                                              <w:divsChild>
                                                <w:div w:id="376781814">
                                                  <w:marLeft w:val="0"/>
                                                  <w:marRight w:val="0"/>
                                                  <w:marTop w:val="0"/>
                                                  <w:marBottom w:val="0"/>
                                                  <w:divBdr>
                                                    <w:top w:val="none" w:sz="0" w:space="0" w:color="auto"/>
                                                    <w:left w:val="none" w:sz="0" w:space="0" w:color="auto"/>
                                                    <w:bottom w:val="none" w:sz="0" w:space="0" w:color="auto"/>
                                                    <w:right w:val="none" w:sz="0" w:space="0" w:color="auto"/>
                                                  </w:divBdr>
                                                  <w:divsChild>
                                                    <w:div w:id="16420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2951790">
      <w:bodyDiv w:val="1"/>
      <w:marLeft w:val="0"/>
      <w:marRight w:val="0"/>
      <w:marTop w:val="0"/>
      <w:marBottom w:val="0"/>
      <w:divBdr>
        <w:top w:val="none" w:sz="0" w:space="0" w:color="auto"/>
        <w:left w:val="none" w:sz="0" w:space="0" w:color="auto"/>
        <w:bottom w:val="none" w:sz="0" w:space="0" w:color="auto"/>
        <w:right w:val="none" w:sz="0" w:space="0" w:color="auto"/>
      </w:divBdr>
      <w:divsChild>
        <w:div w:id="810050914">
          <w:marLeft w:val="0"/>
          <w:marRight w:val="0"/>
          <w:marTop w:val="0"/>
          <w:marBottom w:val="0"/>
          <w:divBdr>
            <w:top w:val="none" w:sz="0" w:space="0" w:color="auto"/>
            <w:left w:val="none" w:sz="0" w:space="0" w:color="auto"/>
            <w:bottom w:val="none" w:sz="0" w:space="0" w:color="auto"/>
            <w:right w:val="none" w:sz="0" w:space="0" w:color="auto"/>
          </w:divBdr>
          <w:divsChild>
            <w:div w:id="1597131989">
              <w:marLeft w:val="0"/>
              <w:marRight w:val="0"/>
              <w:marTop w:val="0"/>
              <w:marBottom w:val="0"/>
              <w:divBdr>
                <w:top w:val="none" w:sz="0" w:space="0" w:color="auto"/>
                <w:left w:val="none" w:sz="0" w:space="0" w:color="auto"/>
                <w:bottom w:val="none" w:sz="0" w:space="0" w:color="auto"/>
                <w:right w:val="none" w:sz="0" w:space="0" w:color="auto"/>
              </w:divBdr>
              <w:divsChild>
                <w:div w:id="513540369">
                  <w:marLeft w:val="0"/>
                  <w:marRight w:val="0"/>
                  <w:marTop w:val="0"/>
                  <w:marBottom w:val="0"/>
                  <w:divBdr>
                    <w:top w:val="none" w:sz="0" w:space="0" w:color="auto"/>
                    <w:left w:val="none" w:sz="0" w:space="0" w:color="auto"/>
                    <w:bottom w:val="none" w:sz="0" w:space="0" w:color="auto"/>
                    <w:right w:val="none" w:sz="0" w:space="0" w:color="auto"/>
                  </w:divBdr>
                  <w:divsChild>
                    <w:div w:id="1946113611">
                      <w:marLeft w:val="0"/>
                      <w:marRight w:val="0"/>
                      <w:marTop w:val="0"/>
                      <w:marBottom w:val="0"/>
                      <w:divBdr>
                        <w:top w:val="none" w:sz="0" w:space="0" w:color="auto"/>
                        <w:left w:val="none" w:sz="0" w:space="0" w:color="auto"/>
                        <w:bottom w:val="none" w:sz="0" w:space="0" w:color="auto"/>
                        <w:right w:val="none" w:sz="0" w:space="0" w:color="auto"/>
                      </w:divBdr>
                      <w:divsChild>
                        <w:div w:id="301738233">
                          <w:marLeft w:val="0"/>
                          <w:marRight w:val="0"/>
                          <w:marTop w:val="0"/>
                          <w:marBottom w:val="0"/>
                          <w:divBdr>
                            <w:top w:val="none" w:sz="0" w:space="0" w:color="auto"/>
                            <w:left w:val="none" w:sz="0" w:space="0" w:color="auto"/>
                            <w:bottom w:val="none" w:sz="0" w:space="0" w:color="auto"/>
                            <w:right w:val="none" w:sz="0" w:space="0" w:color="auto"/>
                          </w:divBdr>
                          <w:divsChild>
                            <w:div w:id="1498382172">
                              <w:marLeft w:val="0"/>
                              <w:marRight w:val="0"/>
                              <w:marTop w:val="0"/>
                              <w:marBottom w:val="0"/>
                              <w:divBdr>
                                <w:top w:val="none" w:sz="0" w:space="0" w:color="auto"/>
                                <w:left w:val="none" w:sz="0" w:space="0" w:color="auto"/>
                                <w:bottom w:val="none" w:sz="0" w:space="0" w:color="auto"/>
                                <w:right w:val="none" w:sz="0" w:space="0" w:color="auto"/>
                              </w:divBdr>
                              <w:divsChild>
                                <w:div w:id="1558933127">
                                  <w:marLeft w:val="0"/>
                                  <w:marRight w:val="0"/>
                                  <w:marTop w:val="0"/>
                                  <w:marBottom w:val="0"/>
                                  <w:divBdr>
                                    <w:top w:val="none" w:sz="0" w:space="0" w:color="auto"/>
                                    <w:left w:val="none" w:sz="0" w:space="0" w:color="auto"/>
                                    <w:bottom w:val="none" w:sz="0" w:space="0" w:color="auto"/>
                                    <w:right w:val="none" w:sz="0" w:space="0" w:color="auto"/>
                                  </w:divBdr>
                                  <w:divsChild>
                                    <w:div w:id="1457599879">
                                      <w:marLeft w:val="0"/>
                                      <w:marRight w:val="0"/>
                                      <w:marTop w:val="0"/>
                                      <w:marBottom w:val="0"/>
                                      <w:divBdr>
                                        <w:top w:val="none" w:sz="0" w:space="0" w:color="auto"/>
                                        <w:left w:val="none" w:sz="0" w:space="0" w:color="auto"/>
                                        <w:bottom w:val="none" w:sz="0" w:space="0" w:color="auto"/>
                                        <w:right w:val="none" w:sz="0" w:space="0" w:color="auto"/>
                                      </w:divBdr>
                                      <w:divsChild>
                                        <w:div w:id="410394488">
                                          <w:marLeft w:val="0"/>
                                          <w:marRight w:val="0"/>
                                          <w:marTop w:val="0"/>
                                          <w:marBottom w:val="0"/>
                                          <w:divBdr>
                                            <w:top w:val="none" w:sz="0" w:space="0" w:color="auto"/>
                                            <w:left w:val="none" w:sz="0" w:space="0" w:color="auto"/>
                                            <w:bottom w:val="none" w:sz="0" w:space="0" w:color="auto"/>
                                            <w:right w:val="none" w:sz="0" w:space="0" w:color="auto"/>
                                          </w:divBdr>
                                          <w:divsChild>
                                            <w:div w:id="1908419681">
                                              <w:marLeft w:val="0"/>
                                              <w:marRight w:val="0"/>
                                              <w:marTop w:val="0"/>
                                              <w:marBottom w:val="0"/>
                                              <w:divBdr>
                                                <w:top w:val="none" w:sz="0" w:space="0" w:color="auto"/>
                                                <w:left w:val="none" w:sz="0" w:space="0" w:color="auto"/>
                                                <w:bottom w:val="none" w:sz="0" w:space="0" w:color="auto"/>
                                                <w:right w:val="none" w:sz="0" w:space="0" w:color="auto"/>
                                              </w:divBdr>
                                              <w:divsChild>
                                                <w:div w:id="23713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512717">
      <w:bodyDiv w:val="1"/>
      <w:marLeft w:val="0"/>
      <w:marRight w:val="0"/>
      <w:marTop w:val="0"/>
      <w:marBottom w:val="0"/>
      <w:divBdr>
        <w:top w:val="none" w:sz="0" w:space="0" w:color="auto"/>
        <w:left w:val="none" w:sz="0" w:space="0" w:color="auto"/>
        <w:bottom w:val="none" w:sz="0" w:space="0" w:color="auto"/>
        <w:right w:val="none" w:sz="0" w:space="0" w:color="auto"/>
      </w:divBdr>
      <w:divsChild>
        <w:div w:id="1433863429">
          <w:marLeft w:val="0"/>
          <w:marRight w:val="0"/>
          <w:marTop w:val="0"/>
          <w:marBottom w:val="0"/>
          <w:divBdr>
            <w:top w:val="none" w:sz="0" w:space="0" w:color="auto"/>
            <w:left w:val="none" w:sz="0" w:space="0" w:color="auto"/>
            <w:bottom w:val="none" w:sz="0" w:space="0" w:color="auto"/>
            <w:right w:val="none" w:sz="0" w:space="0" w:color="auto"/>
          </w:divBdr>
          <w:divsChild>
            <w:div w:id="1501122064">
              <w:marLeft w:val="0"/>
              <w:marRight w:val="0"/>
              <w:marTop w:val="0"/>
              <w:marBottom w:val="11"/>
              <w:divBdr>
                <w:top w:val="none" w:sz="0" w:space="0" w:color="auto"/>
                <w:left w:val="none" w:sz="0" w:space="0" w:color="auto"/>
                <w:bottom w:val="none" w:sz="0" w:space="0" w:color="auto"/>
                <w:right w:val="none" w:sz="0" w:space="0" w:color="auto"/>
              </w:divBdr>
              <w:divsChild>
                <w:div w:id="2010597660">
                  <w:marLeft w:val="0"/>
                  <w:marRight w:val="0"/>
                  <w:marTop w:val="0"/>
                  <w:marBottom w:val="0"/>
                  <w:divBdr>
                    <w:top w:val="none" w:sz="0" w:space="0" w:color="auto"/>
                    <w:left w:val="none" w:sz="0" w:space="0" w:color="auto"/>
                    <w:bottom w:val="none" w:sz="0" w:space="0" w:color="auto"/>
                    <w:right w:val="none" w:sz="0" w:space="0" w:color="auto"/>
                  </w:divBdr>
                  <w:divsChild>
                    <w:div w:id="218054303">
                      <w:marLeft w:val="0"/>
                      <w:marRight w:val="0"/>
                      <w:marTop w:val="0"/>
                      <w:marBottom w:val="0"/>
                      <w:divBdr>
                        <w:top w:val="none" w:sz="0" w:space="0" w:color="auto"/>
                        <w:left w:val="none" w:sz="0" w:space="0" w:color="auto"/>
                        <w:bottom w:val="none" w:sz="0" w:space="0" w:color="auto"/>
                        <w:right w:val="none" w:sz="0" w:space="0" w:color="auto"/>
                      </w:divBdr>
                      <w:divsChild>
                        <w:div w:id="683824598">
                          <w:marLeft w:val="0"/>
                          <w:marRight w:val="0"/>
                          <w:marTop w:val="0"/>
                          <w:marBottom w:val="0"/>
                          <w:divBdr>
                            <w:top w:val="none" w:sz="0" w:space="0" w:color="auto"/>
                            <w:left w:val="none" w:sz="0" w:space="0" w:color="auto"/>
                            <w:bottom w:val="none" w:sz="0" w:space="0" w:color="auto"/>
                            <w:right w:val="none" w:sz="0" w:space="0" w:color="auto"/>
                          </w:divBdr>
                          <w:divsChild>
                            <w:div w:id="1737630383">
                              <w:marLeft w:val="0"/>
                              <w:marRight w:val="0"/>
                              <w:marTop w:val="0"/>
                              <w:marBottom w:val="0"/>
                              <w:divBdr>
                                <w:top w:val="none" w:sz="0" w:space="0" w:color="auto"/>
                                <w:left w:val="none" w:sz="0" w:space="0" w:color="auto"/>
                                <w:bottom w:val="none" w:sz="0" w:space="0" w:color="auto"/>
                                <w:right w:val="none" w:sz="0" w:space="0" w:color="auto"/>
                              </w:divBdr>
                              <w:divsChild>
                                <w:div w:id="1387022654">
                                  <w:marLeft w:val="0"/>
                                  <w:marRight w:val="0"/>
                                  <w:marTop w:val="0"/>
                                  <w:marBottom w:val="0"/>
                                  <w:divBdr>
                                    <w:top w:val="single" w:sz="2" w:space="0" w:color="EEEEEE"/>
                                    <w:left w:val="none" w:sz="0" w:space="0" w:color="auto"/>
                                    <w:bottom w:val="none" w:sz="0" w:space="0" w:color="auto"/>
                                    <w:right w:val="none" w:sz="0" w:space="0" w:color="auto"/>
                                  </w:divBdr>
                                  <w:divsChild>
                                    <w:div w:id="969743267">
                                      <w:marLeft w:val="0"/>
                                      <w:marRight w:val="0"/>
                                      <w:marTop w:val="0"/>
                                      <w:marBottom w:val="0"/>
                                      <w:divBdr>
                                        <w:top w:val="none" w:sz="0" w:space="0" w:color="auto"/>
                                        <w:left w:val="none" w:sz="0" w:space="0" w:color="auto"/>
                                        <w:bottom w:val="none" w:sz="0" w:space="0" w:color="auto"/>
                                        <w:right w:val="none" w:sz="0" w:space="0" w:color="auto"/>
                                      </w:divBdr>
                                      <w:divsChild>
                                        <w:div w:id="1641576288">
                                          <w:marLeft w:val="0"/>
                                          <w:marRight w:val="0"/>
                                          <w:marTop w:val="0"/>
                                          <w:marBottom w:val="0"/>
                                          <w:divBdr>
                                            <w:top w:val="none" w:sz="0" w:space="0" w:color="auto"/>
                                            <w:left w:val="none" w:sz="0" w:space="0" w:color="auto"/>
                                            <w:bottom w:val="none" w:sz="0" w:space="0" w:color="auto"/>
                                            <w:right w:val="none" w:sz="0" w:space="0" w:color="auto"/>
                                          </w:divBdr>
                                          <w:divsChild>
                                            <w:div w:id="1391925646">
                                              <w:marLeft w:val="0"/>
                                              <w:marRight w:val="0"/>
                                              <w:marTop w:val="0"/>
                                              <w:marBottom w:val="0"/>
                                              <w:divBdr>
                                                <w:top w:val="none" w:sz="0" w:space="0" w:color="auto"/>
                                                <w:left w:val="none" w:sz="0" w:space="0" w:color="auto"/>
                                                <w:bottom w:val="none" w:sz="0" w:space="0" w:color="auto"/>
                                                <w:right w:val="none" w:sz="0" w:space="0" w:color="auto"/>
                                              </w:divBdr>
                                              <w:divsChild>
                                                <w:div w:id="1709334940">
                                                  <w:marLeft w:val="0"/>
                                                  <w:marRight w:val="0"/>
                                                  <w:marTop w:val="0"/>
                                                  <w:marBottom w:val="0"/>
                                                  <w:divBdr>
                                                    <w:top w:val="none" w:sz="0" w:space="0" w:color="auto"/>
                                                    <w:left w:val="none" w:sz="0" w:space="0" w:color="auto"/>
                                                    <w:bottom w:val="none" w:sz="0" w:space="0" w:color="auto"/>
                                                    <w:right w:val="none" w:sz="0" w:space="0" w:color="auto"/>
                                                  </w:divBdr>
                                                  <w:divsChild>
                                                    <w:div w:id="715587717">
                                                      <w:marLeft w:val="0"/>
                                                      <w:marRight w:val="0"/>
                                                      <w:marTop w:val="0"/>
                                                      <w:marBottom w:val="0"/>
                                                      <w:divBdr>
                                                        <w:top w:val="none" w:sz="0" w:space="0" w:color="auto"/>
                                                        <w:left w:val="none" w:sz="0" w:space="0" w:color="auto"/>
                                                        <w:bottom w:val="none" w:sz="0" w:space="0" w:color="auto"/>
                                                        <w:right w:val="none" w:sz="0" w:space="0" w:color="auto"/>
                                                      </w:divBdr>
                                                      <w:divsChild>
                                                        <w:div w:id="1759253967">
                                                          <w:marLeft w:val="0"/>
                                                          <w:marRight w:val="0"/>
                                                          <w:marTop w:val="0"/>
                                                          <w:marBottom w:val="0"/>
                                                          <w:divBdr>
                                                            <w:top w:val="none" w:sz="0" w:space="0" w:color="auto"/>
                                                            <w:left w:val="none" w:sz="0" w:space="0" w:color="auto"/>
                                                            <w:bottom w:val="none" w:sz="0" w:space="0" w:color="auto"/>
                                                            <w:right w:val="none" w:sz="0" w:space="0" w:color="auto"/>
                                                          </w:divBdr>
                                                          <w:divsChild>
                                                            <w:div w:id="364646360">
                                                              <w:marLeft w:val="0"/>
                                                              <w:marRight w:val="0"/>
                                                              <w:marTop w:val="0"/>
                                                              <w:marBottom w:val="0"/>
                                                              <w:divBdr>
                                                                <w:top w:val="none" w:sz="0" w:space="0" w:color="auto"/>
                                                                <w:left w:val="none" w:sz="0" w:space="0" w:color="auto"/>
                                                                <w:bottom w:val="none" w:sz="0" w:space="0" w:color="auto"/>
                                                                <w:right w:val="none" w:sz="0" w:space="0" w:color="auto"/>
                                                              </w:divBdr>
                                                              <w:divsChild>
                                                                <w:div w:id="1159921971">
                                                                  <w:marLeft w:val="0"/>
                                                                  <w:marRight w:val="0"/>
                                                                  <w:marTop w:val="335"/>
                                                                  <w:marBottom w:val="335"/>
                                                                  <w:divBdr>
                                                                    <w:top w:val="none" w:sz="0" w:space="0" w:color="auto"/>
                                                                    <w:left w:val="none" w:sz="0" w:space="0" w:color="auto"/>
                                                                    <w:bottom w:val="none" w:sz="0" w:space="0" w:color="auto"/>
                                                                    <w:right w:val="none" w:sz="0" w:space="0" w:color="auto"/>
                                                                  </w:divBdr>
                                                                  <w:divsChild>
                                                                    <w:div w:id="1176726480">
                                                                      <w:marLeft w:val="0"/>
                                                                      <w:marRight w:val="0"/>
                                                                      <w:marTop w:val="0"/>
                                                                      <w:marBottom w:val="0"/>
                                                                      <w:divBdr>
                                                                        <w:top w:val="none" w:sz="0" w:space="0" w:color="auto"/>
                                                                        <w:left w:val="none" w:sz="0" w:space="0" w:color="auto"/>
                                                                        <w:bottom w:val="none" w:sz="0" w:space="0" w:color="auto"/>
                                                                        <w:right w:val="none" w:sz="0" w:space="0" w:color="auto"/>
                                                                      </w:divBdr>
                                                                      <w:divsChild>
                                                                        <w:div w:id="1620989276">
                                                                          <w:marLeft w:val="0"/>
                                                                          <w:marRight w:val="0"/>
                                                                          <w:marTop w:val="0"/>
                                                                          <w:marBottom w:val="0"/>
                                                                          <w:divBdr>
                                                                            <w:top w:val="none" w:sz="0" w:space="0" w:color="auto"/>
                                                                            <w:left w:val="none" w:sz="0" w:space="0" w:color="auto"/>
                                                                            <w:bottom w:val="none" w:sz="0" w:space="0" w:color="auto"/>
                                                                            <w:right w:val="none" w:sz="0" w:space="0" w:color="auto"/>
                                                                          </w:divBdr>
                                                                          <w:divsChild>
                                                                            <w:div w:id="71974345">
                                                                              <w:marLeft w:val="0"/>
                                                                              <w:marRight w:val="0"/>
                                                                              <w:marTop w:val="0"/>
                                                                              <w:marBottom w:val="0"/>
                                                                              <w:divBdr>
                                                                                <w:top w:val="none" w:sz="0" w:space="0" w:color="auto"/>
                                                                                <w:left w:val="none" w:sz="0" w:space="0" w:color="auto"/>
                                                                                <w:bottom w:val="none" w:sz="0" w:space="0" w:color="auto"/>
                                                                                <w:right w:val="none" w:sz="0" w:space="0" w:color="auto"/>
                                                                              </w:divBdr>
                                                                              <w:divsChild>
                                                                                <w:div w:id="331102929">
                                                                                  <w:marLeft w:val="0"/>
                                                                                  <w:marRight w:val="0"/>
                                                                                  <w:marTop w:val="0"/>
                                                                                  <w:marBottom w:val="0"/>
                                                                                  <w:divBdr>
                                                                                    <w:top w:val="none" w:sz="0" w:space="0" w:color="auto"/>
                                                                                    <w:left w:val="none" w:sz="0" w:space="0" w:color="auto"/>
                                                                                    <w:bottom w:val="none" w:sz="0" w:space="0" w:color="auto"/>
                                                                                    <w:right w:val="none" w:sz="0" w:space="0" w:color="auto"/>
                                                                                  </w:divBdr>
                                                                                  <w:divsChild>
                                                                                    <w:div w:id="831528742">
                                                                                      <w:marLeft w:val="0"/>
                                                                                      <w:marRight w:val="0"/>
                                                                                      <w:marTop w:val="112"/>
                                                                                      <w:marBottom w:val="0"/>
                                                                                      <w:divBdr>
                                                                                        <w:top w:val="none" w:sz="0" w:space="0" w:color="auto"/>
                                                                                        <w:left w:val="none" w:sz="0" w:space="0" w:color="auto"/>
                                                                                        <w:bottom w:val="none" w:sz="0" w:space="0" w:color="auto"/>
                                                                                        <w:right w:val="none" w:sz="0" w:space="0" w:color="auto"/>
                                                                                      </w:divBdr>
                                                                                      <w:divsChild>
                                                                                        <w:div w:id="1199977186">
                                                                                          <w:marLeft w:val="0"/>
                                                                                          <w:marRight w:val="0"/>
                                                                                          <w:marTop w:val="0"/>
                                                                                          <w:marBottom w:val="179"/>
                                                                                          <w:divBdr>
                                                                                            <w:top w:val="none" w:sz="0" w:space="0" w:color="auto"/>
                                                                                            <w:left w:val="none" w:sz="0" w:space="0" w:color="auto"/>
                                                                                            <w:bottom w:val="none" w:sz="0" w:space="0" w:color="auto"/>
                                                                                            <w:right w:val="none" w:sz="0" w:space="0" w:color="auto"/>
                                                                                          </w:divBdr>
                                                                                          <w:divsChild>
                                                                                            <w:div w:id="1895113832">
                                                                                              <w:marLeft w:val="0"/>
                                                                                              <w:marRight w:val="0"/>
                                                                                              <w:marTop w:val="0"/>
                                                                                              <w:marBottom w:val="0"/>
                                                                                              <w:divBdr>
                                                                                                <w:top w:val="none" w:sz="0" w:space="0" w:color="auto"/>
                                                                                                <w:left w:val="none" w:sz="0" w:space="0" w:color="auto"/>
                                                                                                <w:bottom w:val="none" w:sz="0" w:space="0" w:color="auto"/>
                                                                                                <w:right w:val="none" w:sz="0" w:space="0" w:color="auto"/>
                                                                                              </w:divBdr>
                                                                                              <w:divsChild>
                                                                                                <w:div w:id="980504057">
                                                                                                  <w:marLeft w:val="0"/>
                                                                                                  <w:marRight w:val="0"/>
                                                                                                  <w:marTop w:val="0"/>
                                                                                                  <w:marBottom w:val="0"/>
                                                                                                  <w:divBdr>
                                                                                                    <w:top w:val="none" w:sz="0" w:space="0" w:color="auto"/>
                                                                                                    <w:left w:val="none" w:sz="0" w:space="0" w:color="auto"/>
                                                                                                    <w:bottom w:val="none" w:sz="0" w:space="0" w:color="auto"/>
                                                                                                    <w:right w:val="none" w:sz="0" w:space="0" w:color="auto"/>
                                                                                                  </w:divBdr>
                                                                                                  <w:divsChild>
                                                                                                    <w:div w:id="2037536472">
                                                                                                      <w:marLeft w:val="0"/>
                                                                                                      <w:marRight w:val="0"/>
                                                                                                      <w:marTop w:val="0"/>
                                                                                                      <w:marBottom w:val="0"/>
                                                                                                      <w:divBdr>
                                                                                                        <w:top w:val="none" w:sz="0" w:space="0" w:color="auto"/>
                                                                                                        <w:left w:val="none" w:sz="0" w:space="0" w:color="auto"/>
                                                                                                        <w:bottom w:val="none" w:sz="0" w:space="0" w:color="auto"/>
                                                                                                        <w:right w:val="none" w:sz="0" w:space="0" w:color="auto"/>
                                                                                                      </w:divBdr>
                                                                                                      <w:divsChild>
                                                                                                        <w:div w:id="1975595071">
                                                                                                          <w:marLeft w:val="0"/>
                                                                                                          <w:marRight w:val="0"/>
                                                                                                          <w:marTop w:val="89"/>
                                                                                                          <w:marBottom w:val="89"/>
                                                                                                          <w:divBdr>
                                                                                                            <w:top w:val="none" w:sz="0" w:space="0" w:color="auto"/>
                                                                                                            <w:left w:val="none" w:sz="0" w:space="0" w:color="auto"/>
                                                                                                            <w:bottom w:val="none" w:sz="0" w:space="0" w:color="auto"/>
                                                                                                            <w:right w:val="none" w:sz="0" w:space="0" w:color="auto"/>
                                                                                                          </w:divBdr>
                                                                                                          <w:divsChild>
                                                                                                            <w:div w:id="464156823">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824080">
      <w:bodyDiv w:val="1"/>
      <w:marLeft w:val="0"/>
      <w:marRight w:val="0"/>
      <w:marTop w:val="0"/>
      <w:marBottom w:val="0"/>
      <w:divBdr>
        <w:top w:val="none" w:sz="0" w:space="0" w:color="auto"/>
        <w:left w:val="none" w:sz="0" w:space="0" w:color="auto"/>
        <w:bottom w:val="none" w:sz="0" w:space="0" w:color="auto"/>
        <w:right w:val="none" w:sz="0" w:space="0" w:color="auto"/>
      </w:divBdr>
      <w:divsChild>
        <w:div w:id="5796122">
          <w:marLeft w:val="0"/>
          <w:marRight w:val="0"/>
          <w:marTop w:val="0"/>
          <w:marBottom w:val="0"/>
          <w:divBdr>
            <w:top w:val="none" w:sz="0" w:space="0" w:color="auto"/>
            <w:left w:val="none" w:sz="0" w:space="0" w:color="auto"/>
            <w:bottom w:val="none" w:sz="0" w:space="0" w:color="auto"/>
            <w:right w:val="none" w:sz="0" w:space="0" w:color="auto"/>
          </w:divBdr>
          <w:divsChild>
            <w:div w:id="1761363923">
              <w:marLeft w:val="0"/>
              <w:marRight w:val="0"/>
              <w:marTop w:val="0"/>
              <w:marBottom w:val="0"/>
              <w:divBdr>
                <w:top w:val="none" w:sz="0" w:space="0" w:color="auto"/>
                <w:left w:val="none" w:sz="0" w:space="0" w:color="auto"/>
                <w:bottom w:val="none" w:sz="0" w:space="0" w:color="auto"/>
                <w:right w:val="none" w:sz="0" w:space="0" w:color="auto"/>
              </w:divBdr>
              <w:divsChild>
                <w:div w:id="6321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19672">
      <w:bodyDiv w:val="1"/>
      <w:marLeft w:val="0"/>
      <w:marRight w:val="0"/>
      <w:marTop w:val="0"/>
      <w:marBottom w:val="0"/>
      <w:divBdr>
        <w:top w:val="none" w:sz="0" w:space="0" w:color="auto"/>
        <w:left w:val="none" w:sz="0" w:space="0" w:color="auto"/>
        <w:bottom w:val="none" w:sz="0" w:space="0" w:color="auto"/>
        <w:right w:val="none" w:sz="0" w:space="0" w:color="auto"/>
      </w:divBdr>
      <w:divsChild>
        <w:div w:id="956135540">
          <w:marLeft w:val="0"/>
          <w:marRight w:val="0"/>
          <w:marTop w:val="0"/>
          <w:marBottom w:val="0"/>
          <w:divBdr>
            <w:top w:val="none" w:sz="0" w:space="0" w:color="auto"/>
            <w:left w:val="none" w:sz="0" w:space="0" w:color="auto"/>
            <w:bottom w:val="none" w:sz="0" w:space="0" w:color="auto"/>
            <w:right w:val="none" w:sz="0" w:space="0" w:color="auto"/>
          </w:divBdr>
          <w:divsChild>
            <w:div w:id="1125857295">
              <w:marLeft w:val="0"/>
              <w:marRight w:val="0"/>
              <w:marTop w:val="0"/>
              <w:marBottom w:val="11"/>
              <w:divBdr>
                <w:top w:val="none" w:sz="0" w:space="0" w:color="auto"/>
                <w:left w:val="none" w:sz="0" w:space="0" w:color="auto"/>
                <w:bottom w:val="none" w:sz="0" w:space="0" w:color="auto"/>
                <w:right w:val="none" w:sz="0" w:space="0" w:color="auto"/>
              </w:divBdr>
              <w:divsChild>
                <w:div w:id="175390639">
                  <w:marLeft w:val="0"/>
                  <w:marRight w:val="0"/>
                  <w:marTop w:val="0"/>
                  <w:marBottom w:val="0"/>
                  <w:divBdr>
                    <w:top w:val="none" w:sz="0" w:space="0" w:color="auto"/>
                    <w:left w:val="none" w:sz="0" w:space="0" w:color="auto"/>
                    <w:bottom w:val="none" w:sz="0" w:space="0" w:color="auto"/>
                    <w:right w:val="none" w:sz="0" w:space="0" w:color="auto"/>
                  </w:divBdr>
                  <w:divsChild>
                    <w:div w:id="2021621335">
                      <w:marLeft w:val="0"/>
                      <w:marRight w:val="0"/>
                      <w:marTop w:val="0"/>
                      <w:marBottom w:val="0"/>
                      <w:divBdr>
                        <w:top w:val="none" w:sz="0" w:space="0" w:color="auto"/>
                        <w:left w:val="none" w:sz="0" w:space="0" w:color="auto"/>
                        <w:bottom w:val="none" w:sz="0" w:space="0" w:color="auto"/>
                        <w:right w:val="none" w:sz="0" w:space="0" w:color="auto"/>
                      </w:divBdr>
                      <w:divsChild>
                        <w:div w:id="707529698">
                          <w:marLeft w:val="0"/>
                          <w:marRight w:val="0"/>
                          <w:marTop w:val="0"/>
                          <w:marBottom w:val="0"/>
                          <w:divBdr>
                            <w:top w:val="none" w:sz="0" w:space="0" w:color="auto"/>
                            <w:left w:val="none" w:sz="0" w:space="0" w:color="auto"/>
                            <w:bottom w:val="none" w:sz="0" w:space="0" w:color="auto"/>
                            <w:right w:val="none" w:sz="0" w:space="0" w:color="auto"/>
                          </w:divBdr>
                          <w:divsChild>
                            <w:div w:id="1471053243">
                              <w:marLeft w:val="0"/>
                              <w:marRight w:val="0"/>
                              <w:marTop w:val="0"/>
                              <w:marBottom w:val="0"/>
                              <w:divBdr>
                                <w:top w:val="none" w:sz="0" w:space="0" w:color="auto"/>
                                <w:left w:val="none" w:sz="0" w:space="0" w:color="auto"/>
                                <w:bottom w:val="none" w:sz="0" w:space="0" w:color="auto"/>
                                <w:right w:val="none" w:sz="0" w:space="0" w:color="auto"/>
                              </w:divBdr>
                              <w:divsChild>
                                <w:div w:id="1235047502">
                                  <w:marLeft w:val="0"/>
                                  <w:marRight w:val="0"/>
                                  <w:marTop w:val="0"/>
                                  <w:marBottom w:val="0"/>
                                  <w:divBdr>
                                    <w:top w:val="single" w:sz="2" w:space="0" w:color="EEEEEE"/>
                                    <w:left w:val="none" w:sz="0" w:space="0" w:color="auto"/>
                                    <w:bottom w:val="none" w:sz="0" w:space="0" w:color="auto"/>
                                    <w:right w:val="none" w:sz="0" w:space="0" w:color="auto"/>
                                  </w:divBdr>
                                  <w:divsChild>
                                    <w:div w:id="729965940">
                                      <w:marLeft w:val="0"/>
                                      <w:marRight w:val="0"/>
                                      <w:marTop w:val="0"/>
                                      <w:marBottom w:val="0"/>
                                      <w:divBdr>
                                        <w:top w:val="none" w:sz="0" w:space="0" w:color="auto"/>
                                        <w:left w:val="none" w:sz="0" w:space="0" w:color="auto"/>
                                        <w:bottom w:val="none" w:sz="0" w:space="0" w:color="auto"/>
                                        <w:right w:val="none" w:sz="0" w:space="0" w:color="auto"/>
                                      </w:divBdr>
                                      <w:divsChild>
                                        <w:div w:id="1436318856">
                                          <w:marLeft w:val="0"/>
                                          <w:marRight w:val="0"/>
                                          <w:marTop w:val="0"/>
                                          <w:marBottom w:val="0"/>
                                          <w:divBdr>
                                            <w:top w:val="none" w:sz="0" w:space="0" w:color="auto"/>
                                            <w:left w:val="none" w:sz="0" w:space="0" w:color="auto"/>
                                            <w:bottom w:val="none" w:sz="0" w:space="0" w:color="auto"/>
                                            <w:right w:val="none" w:sz="0" w:space="0" w:color="auto"/>
                                          </w:divBdr>
                                          <w:divsChild>
                                            <w:div w:id="982151255">
                                              <w:marLeft w:val="0"/>
                                              <w:marRight w:val="0"/>
                                              <w:marTop w:val="0"/>
                                              <w:marBottom w:val="0"/>
                                              <w:divBdr>
                                                <w:top w:val="none" w:sz="0" w:space="0" w:color="auto"/>
                                                <w:left w:val="none" w:sz="0" w:space="0" w:color="auto"/>
                                                <w:bottom w:val="none" w:sz="0" w:space="0" w:color="auto"/>
                                                <w:right w:val="none" w:sz="0" w:space="0" w:color="auto"/>
                                              </w:divBdr>
                                              <w:divsChild>
                                                <w:div w:id="763307746">
                                                  <w:marLeft w:val="0"/>
                                                  <w:marRight w:val="0"/>
                                                  <w:marTop w:val="0"/>
                                                  <w:marBottom w:val="0"/>
                                                  <w:divBdr>
                                                    <w:top w:val="none" w:sz="0" w:space="0" w:color="auto"/>
                                                    <w:left w:val="none" w:sz="0" w:space="0" w:color="auto"/>
                                                    <w:bottom w:val="none" w:sz="0" w:space="0" w:color="auto"/>
                                                    <w:right w:val="none" w:sz="0" w:space="0" w:color="auto"/>
                                                  </w:divBdr>
                                                  <w:divsChild>
                                                    <w:div w:id="953751762">
                                                      <w:marLeft w:val="0"/>
                                                      <w:marRight w:val="0"/>
                                                      <w:marTop w:val="0"/>
                                                      <w:marBottom w:val="0"/>
                                                      <w:divBdr>
                                                        <w:top w:val="none" w:sz="0" w:space="0" w:color="auto"/>
                                                        <w:left w:val="none" w:sz="0" w:space="0" w:color="auto"/>
                                                        <w:bottom w:val="none" w:sz="0" w:space="0" w:color="auto"/>
                                                        <w:right w:val="none" w:sz="0" w:space="0" w:color="auto"/>
                                                      </w:divBdr>
                                                      <w:divsChild>
                                                        <w:div w:id="793796032">
                                                          <w:marLeft w:val="0"/>
                                                          <w:marRight w:val="0"/>
                                                          <w:marTop w:val="0"/>
                                                          <w:marBottom w:val="0"/>
                                                          <w:divBdr>
                                                            <w:top w:val="none" w:sz="0" w:space="0" w:color="auto"/>
                                                            <w:left w:val="none" w:sz="0" w:space="0" w:color="auto"/>
                                                            <w:bottom w:val="none" w:sz="0" w:space="0" w:color="auto"/>
                                                            <w:right w:val="none" w:sz="0" w:space="0" w:color="auto"/>
                                                          </w:divBdr>
                                                          <w:divsChild>
                                                            <w:div w:id="1614626628">
                                                              <w:marLeft w:val="0"/>
                                                              <w:marRight w:val="0"/>
                                                              <w:marTop w:val="0"/>
                                                              <w:marBottom w:val="0"/>
                                                              <w:divBdr>
                                                                <w:top w:val="none" w:sz="0" w:space="0" w:color="auto"/>
                                                                <w:left w:val="none" w:sz="0" w:space="0" w:color="auto"/>
                                                                <w:bottom w:val="none" w:sz="0" w:space="0" w:color="auto"/>
                                                                <w:right w:val="none" w:sz="0" w:space="0" w:color="auto"/>
                                                              </w:divBdr>
                                                              <w:divsChild>
                                                                <w:div w:id="1246301297">
                                                                  <w:marLeft w:val="0"/>
                                                                  <w:marRight w:val="0"/>
                                                                  <w:marTop w:val="335"/>
                                                                  <w:marBottom w:val="335"/>
                                                                  <w:divBdr>
                                                                    <w:top w:val="none" w:sz="0" w:space="0" w:color="auto"/>
                                                                    <w:left w:val="none" w:sz="0" w:space="0" w:color="auto"/>
                                                                    <w:bottom w:val="none" w:sz="0" w:space="0" w:color="auto"/>
                                                                    <w:right w:val="none" w:sz="0" w:space="0" w:color="auto"/>
                                                                  </w:divBdr>
                                                                  <w:divsChild>
                                                                    <w:div w:id="437679561">
                                                                      <w:marLeft w:val="0"/>
                                                                      <w:marRight w:val="0"/>
                                                                      <w:marTop w:val="0"/>
                                                                      <w:marBottom w:val="0"/>
                                                                      <w:divBdr>
                                                                        <w:top w:val="none" w:sz="0" w:space="0" w:color="auto"/>
                                                                        <w:left w:val="none" w:sz="0" w:space="0" w:color="auto"/>
                                                                        <w:bottom w:val="none" w:sz="0" w:space="0" w:color="auto"/>
                                                                        <w:right w:val="none" w:sz="0" w:space="0" w:color="auto"/>
                                                                      </w:divBdr>
                                                                      <w:divsChild>
                                                                        <w:div w:id="740178812">
                                                                          <w:marLeft w:val="0"/>
                                                                          <w:marRight w:val="0"/>
                                                                          <w:marTop w:val="0"/>
                                                                          <w:marBottom w:val="0"/>
                                                                          <w:divBdr>
                                                                            <w:top w:val="none" w:sz="0" w:space="0" w:color="auto"/>
                                                                            <w:left w:val="none" w:sz="0" w:space="0" w:color="auto"/>
                                                                            <w:bottom w:val="none" w:sz="0" w:space="0" w:color="auto"/>
                                                                            <w:right w:val="none" w:sz="0" w:space="0" w:color="auto"/>
                                                                          </w:divBdr>
                                                                          <w:divsChild>
                                                                            <w:div w:id="304311925">
                                                                              <w:marLeft w:val="0"/>
                                                                              <w:marRight w:val="0"/>
                                                                              <w:marTop w:val="0"/>
                                                                              <w:marBottom w:val="0"/>
                                                                              <w:divBdr>
                                                                                <w:top w:val="none" w:sz="0" w:space="0" w:color="auto"/>
                                                                                <w:left w:val="none" w:sz="0" w:space="0" w:color="auto"/>
                                                                                <w:bottom w:val="none" w:sz="0" w:space="0" w:color="auto"/>
                                                                                <w:right w:val="none" w:sz="0" w:space="0" w:color="auto"/>
                                                                              </w:divBdr>
                                                                              <w:divsChild>
                                                                                <w:div w:id="80031381">
                                                                                  <w:marLeft w:val="0"/>
                                                                                  <w:marRight w:val="0"/>
                                                                                  <w:marTop w:val="0"/>
                                                                                  <w:marBottom w:val="0"/>
                                                                                  <w:divBdr>
                                                                                    <w:top w:val="none" w:sz="0" w:space="0" w:color="auto"/>
                                                                                    <w:left w:val="none" w:sz="0" w:space="0" w:color="auto"/>
                                                                                    <w:bottom w:val="none" w:sz="0" w:space="0" w:color="auto"/>
                                                                                    <w:right w:val="none" w:sz="0" w:space="0" w:color="auto"/>
                                                                                  </w:divBdr>
                                                                                  <w:divsChild>
                                                                                    <w:div w:id="1686051702">
                                                                                      <w:marLeft w:val="0"/>
                                                                                      <w:marRight w:val="0"/>
                                                                                      <w:marTop w:val="0"/>
                                                                                      <w:marBottom w:val="279"/>
                                                                                      <w:divBdr>
                                                                                        <w:top w:val="none" w:sz="0" w:space="0" w:color="auto"/>
                                                                                        <w:left w:val="none" w:sz="0" w:space="0" w:color="auto"/>
                                                                                        <w:bottom w:val="none" w:sz="0" w:space="0" w:color="auto"/>
                                                                                        <w:right w:val="none" w:sz="0" w:space="0" w:color="auto"/>
                                                                                      </w:divBdr>
                                                                                      <w:divsChild>
                                                                                        <w:div w:id="1362130648">
                                                                                          <w:marLeft w:val="0"/>
                                                                                          <w:marRight w:val="0"/>
                                                                                          <w:marTop w:val="0"/>
                                                                                          <w:marBottom w:val="0"/>
                                                                                          <w:divBdr>
                                                                                            <w:top w:val="none" w:sz="0" w:space="0" w:color="auto"/>
                                                                                            <w:left w:val="none" w:sz="0" w:space="0" w:color="auto"/>
                                                                                            <w:bottom w:val="none" w:sz="0" w:space="0" w:color="auto"/>
                                                                                            <w:right w:val="none" w:sz="0" w:space="0" w:color="auto"/>
                                                                                          </w:divBdr>
                                                                                          <w:divsChild>
                                                                                            <w:div w:id="25301029">
                                                                                              <w:marLeft w:val="0"/>
                                                                                              <w:marRight w:val="0"/>
                                                                                              <w:marTop w:val="120"/>
                                                                                              <w:marBottom w:val="120"/>
                                                                                              <w:divBdr>
                                                                                                <w:top w:val="none" w:sz="0" w:space="0" w:color="auto"/>
                                                                                                <w:left w:val="none" w:sz="0" w:space="0" w:color="auto"/>
                                                                                                <w:bottom w:val="none" w:sz="0" w:space="0" w:color="auto"/>
                                                                                                <w:right w:val="none" w:sz="0" w:space="0" w:color="auto"/>
                                                                                              </w:divBdr>
                                                                                            </w:div>
                                                                                            <w:div w:id="1537695571">
                                                                                              <w:marLeft w:val="360"/>
                                                                                              <w:marRight w:val="360"/>
                                                                                              <w:marTop w:val="120"/>
                                                                                              <w:marBottom w:val="120"/>
                                                                                              <w:divBdr>
                                                                                                <w:top w:val="none" w:sz="0" w:space="0" w:color="auto"/>
                                                                                                <w:left w:val="none" w:sz="0" w:space="0" w:color="auto"/>
                                                                                                <w:bottom w:val="none" w:sz="0" w:space="0" w:color="auto"/>
                                                                                                <w:right w:val="none" w:sz="0" w:space="0" w:color="auto"/>
                                                                                              </w:divBdr>
                                                                                            </w:div>
                                                                                            <w:div w:id="238173110">
                                                                                              <w:marLeft w:val="360"/>
                                                                                              <w:marRight w:val="360"/>
                                                                                              <w:marTop w:val="120"/>
                                                                                              <w:marBottom w:val="120"/>
                                                                                              <w:divBdr>
                                                                                                <w:top w:val="none" w:sz="0" w:space="0" w:color="auto"/>
                                                                                                <w:left w:val="none" w:sz="0" w:space="0" w:color="auto"/>
                                                                                                <w:bottom w:val="none" w:sz="0" w:space="0" w:color="auto"/>
                                                                                                <w:right w:val="none" w:sz="0" w:space="0" w:color="auto"/>
                                                                                              </w:divBdr>
                                                                                            </w:div>
                                                                                            <w:div w:id="1266228529">
                                                                                              <w:marLeft w:val="360"/>
                                                                                              <w:marRight w:val="360"/>
                                                                                              <w:marTop w:val="120"/>
                                                                                              <w:marBottom w:val="120"/>
                                                                                              <w:divBdr>
                                                                                                <w:top w:val="none" w:sz="0" w:space="0" w:color="auto"/>
                                                                                                <w:left w:val="none" w:sz="0" w:space="0" w:color="auto"/>
                                                                                                <w:bottom w:val="none" w:sz="0" w:space="0" w:color="auto"/>
                                                                                                <w:right w:val="none" w:sz="0" w:space="0" w:color="auto"/>
                                                                                              </w:divBdr>
                                                                                            </w:div>
                                                                                            <w:div w:id="2007827685">
                                                                                              <w:marLeft w:val="360"/>
                                                                                              <w:marRight w:val="36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315382">
      <w:bodyDiv w:val="1"/>
      <w:marLeft w:val="0"/>
      <w:marRight w:val="0"/>
      <w:marTop w:val="0"/>
      <w:marBottom w:val="0"/>
      <w:divBdr>
        <w:top w:val="none" w:sz="0" w:space="0" w:color="auto"/>
        <w:left w:val="none" w:sz="0" w:space="0" w:color="auto"/>
        <w:bottom w:val="none" w:sz="0" w:space="0" w:color="auto"/>
        <w:right w:val="none" w:sz="0" w:space="0" w:color="auto"/>
      </w:divBdr>
      <w:divsChild>
        <w:div w:id="1313439126">
          <w:marLeft w:val="0"/>
          <w:marRight w:val="0"/>
          <w:marTop w:val="0"/>
          <w:marBottom w:val="0"/>
          <w:divBdr>
            <w:top w:val="none" w:sz="0" w:space="0" w:color="auto"/>
            <w:left w:val="none" w:sz="0" w:space="0" w:color="auto"/>
            <w:bottom w:val="none" w:sz="0" w:space="0" w:color="auto"/>
            <w:right w:val="none" w:sz="0" w:space="0" w:color="auto"/>
          </w:divBdr>
          <w:divsChild>
            <w:div w:id="982848906">
              <w:marLeft w:val="0"/>
              <w:marRight w:val="0"/>
              <w:marTop w:val="0"/>
              <w:marBottom w:val="0"/>
              <w:divBdr>
                <w:top w:val="none" w:sz="0" w:space="0" w:color="auto"/>
                <w:left w:val="none" w:sz="0" w:space="0" w:color="auto"/>
                <w:bottom w:val="none" w:sz="0" w:space="0" w:color="auto"/>
                <w:right w:val="none" w:sz="0" w:space="0" w:color="auto"/>
              </w:divBdr>
              <w:divsChild>
                <w:div w:id="12961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22652">
      <w:bodyDiv w:val="1"/>
      <w:marLeft w:val="0"/>
      <w:marRight w:val="0"/>
      <w:marTop w:val="0"/>
      <w:marBottom w:val="0"/>
      <w:divBdr>
        <w:top w:val="none" w:sz="0" w:space="0" w:color="auto"/>
        <w:left w:val="none" w:sz="0" w:space="0" w:color="auto"/>
        <w:bottom w:val="none" w:sz="0" w:space="0" w:color="auto"/>
        <w:right w:val="none" w:sz="0" w:space="0" w:color="auto"/>
      </w:divBdr>
      <w:divsChild>
        <w:div w:id="603534595">
          <w:marLeft w:val="0"/>
          <w:marRight w:val="0"/>
          <w:marTop w:val="0"/>
          <w:marBottom w:val="0"/>
          <w:divBdr>
            <w:top w:val="none" w:sz="0" w:space="0" w:color="auto"/>
            <w:left w:val="none" w:sz="0" w:space="0" w:color="auto"/>
            <w:bottom w:val="none" w:sz="0" w:space="0" w:color="auto"/>
            <w:right w:val="none" w:sz="0" w:space="0" w:color="auto"/>
          </w:divBdr>
          <w:divsChild>
            <w:div w:id="724335058">
              <w:marLeft w:val="0"/>
              <w:marRight w:val="0"/>
              <w:marTop w:val="0"/>
              <w:marBottom w:val="0"/>
              <w:divBdr>
                <w:top w:val="none" w:sz="0" w:space="0" w:color="auto"/>
                <w:left w:val="none" w:sz="0" w:space="0" w:color="auto"/>
                <w:bottom w:val="none" w:sz="0" w:space="0" w:color="auto"/>
                <w:right w:val="none" w:sz="0" w:space="0" w:color="auto"/>
              </w:divBdr>
              <w:divsChild>
                <w:div w:id="1508911221">
                  <w:marLeft w:val="0"/>
                  <w:marRight w:val="0"/>
                  <w:marTop w:val="0"/>
                  <w:marBottom w:val="0"/>
                  <w:divBdr>
                    <w:top w:val="none" w:sz="0" w:space="0" w:color="auto"/>
                    <w:left w:val="none" w:sz="0" w:space="0" w:color="auto"/>
                    <w:bottom w:val="none" w:sz="0" w:space="0" w:color="auto"/>
                    <w:right w:val="none" w:sz="0" w:space="0" w:color="auto"/>
                  </w:divBdr>
                  <w:divsChild>
                    <w:div w:id="1876576000">
                      <w:marLeft w:val="0"/>
                      <w:marRight w:val="0"/>
                      <w:marTop w:val="0"/>
                      <w:marBottom w:val="0"/>
                      <w:divBdr>
                        <w:top w:val="none" w:sz="0" w:space="0" w:color="auto"/>
                        <w:left w:val="none" w:sz="0" w:space="0" w:color="auto"/>
                        <w:bottom w:val="none" w:sz="0" w:space="0" w:color="auto"/>
                        <w:right w:val="none" w:sz="0" w:space="0" w:color="auto"/>
                      </w:divBdr>
                      <w:divsChild>
                        <w:div w:id="1461263855">
                          <w:marLeft w:val="0"/>
                          <w:marRight w:val="0"/>
                          <w:marTop w:val="0"/>
                          <w:marBottom w:val="0"/>
                          <w:divBdr>
                            <w:top w:val="none" w:sz="0" w:space="0" w:color="auto"/>
                            <w:left w:val="none" w:sz="0" w:space="0" w:color="auto"/>
                            <w:bottom w:val="none" w:sz="0" w:space="0" w:color="auto"/>
                            <w:right w:val="none" w:sz="0" w:space="0" w:color="auto"/>
                          </w:divBdr>
                          <w:divsChild>
                            <w:div w:id="1893420537">
                              <w:marLeft w:val="0"/>
                              <w:marRight w:val="0"/>
                              <w:marTop w:val="0"/>
                              <w:marBottom w:val="0"/>
                              <w:divBdr>
                                <w:top w:val="none" w:sz="0" w:space="0" w:color="auto"/>
                                <w:left w:val="none" w:sz="0" w:space="0" w:color="auto"/>
                                <w:bottom w:val="none" w:sz="0" w:space="0" w:color="auto"/>
                                <w:right w:val="none" w:sz="0" w:space="0" w:color="auto"/>
                              </w:divBdr>
                              <w:divsChild>
                                <w:div w:id="1163205740">
                                  <w:marLeft w:val="0"/>
                                  <w:marRight w:val="0"/>
                                  <w:marTop w:val="0"/>
                                  <w:marBottom w:val="0"/>
                                  <w:divBdr>
                                    <w:top w:val="none" w:sz="0" w:space="0" w:color="auto"/>
                                    <w:left w:val="none" w:sz="0" w:space="0" w:color="auto"/>
                                    <w:bottom w:val="none" w:sz="0" w:space="0" w:color="auto"/>
                                    <w:right w:val="none" w:sz="0" w:space="0" w:color="auto"/>
                                  </w:divBdr>
                                  <w:divsChild>
                                    <w:div w:id="1531336108">
                                      <w:marLeft w:val="0"/>
                                      <w:marRight w:val="0"/>
                                      <w:marTop w:val="0"/>
                                      <w:marBottom w:val="0"/>
                                      <w:divBdr>
                                        <w:top w:val="none" w:sz="0" w:space="0" w:color="auto"/>
                                        <w:left w:val="none" w:sz="0" w:space="0" w:color="auto"/>
                                        <w:bottom w:val="none" w:sz="0" w:space="0" w:color="auto"/>
                                        <w:right w:val="none" w:sz="0" w:space="0" w:color="auto"/>
                                      </w:divBdr>
                                      <w:divsChild>
                                        <w:div w:id="680819639">
                                          <w:marLeft w:val="0"/>
                                          <w:marRight w:val="0"/>
                                          <w:marTop w:val="0"/>
                                          <w:marBottom w:val="0"/>
                                          <w:divBdr>
                                            <w:top w:val="none" w:sz="0" w:space="0" w:color="auto"/>
                                            <w:left w:val="none" w:sz="0" w:space="0" w:color="auto"/>
                                            <w:bottom w:val="none" w:sz="0" w:space="0" w:color="auto"/>
                                            <w:right w:val="none" w:sz="0" w:space="0" w:color="auto"/>
                                          </w:divBdr>
                                          <w:divsChild>
                                            <w:div w:id="1482844445">
                                              <w:marLeft w:val="0"/>
                                              <w:marRight w:val="0"/>
                                              <w:marTop w:val="0"/>
                                              <w:marBottom w:val="0"/>
                                              <w:divBdr>
                                                <w:top w:val="none" w:sz="0" w:space="0" w:color="auto"/>
                                                <w:left w:val="none" w:sz="0" w:space="0" w:color="auto"/>
                                                <w:bottom w:val="none" w:sz="0" w:space="0" w:color="auto"/>
                                                <w:right w:val="none" w:sz="0" w:space="0" w:color="auto"/>
                                              </w:divBdr>
                                              <w:divsChild>
                                                <w:div w:id="84346342">
                                                  <w:marLeft w:val="0"/>
                                                  <w:marRight w:val="0"/>
                                                  <w:marTop w:val="0"/>
                                                  <w:marBottom w:val="0"/>
                                                  <w:divBdr>
                                                    <w:top w:val="none" w:sz="0" w:space="0" w:color="auto"/>
                                                    <w:left w:val="none" w:sz="0" w:space="0" w:color="auto"/>
                                                    <w:bottom w:val="none" w:sz="0" w:space="0" w:color="auto"/>
                                                    <w:right w:val="none" w:sz="0" w:space="0" w:color="auto"/>
                                                  </w:divBdr>
                                                  <w:divsChild>
                                                    <w:div w:id="13084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9458811">
      <w:bodyDiv w:val="1"/>
      <w:marLeft w:val="0"/>
      <w:marRight w:val="0"/>
      <w:marTop w:val="0"/>
      <w:marBottom w:val="0"/>
      <w:divBdr>
        <w:top w:val="none" w:sz="0" w:space="0" w:color="auto"/>
        <w:left w:val="none" w:sz="0" w:space="0" w:color="auto"/>
        <w:bottom w:val="none" w:sz="0" w:space="0" w:color="auto"/>
        <w:right w:val="none" w:sz="0" w:space="0" w:color="auto"/>
      </w:divBdr>
      <w:divsChild>
        <w:div w:id="1984314327">
          <w:marLeft w:val="0"/>
          <w:marRight w:val="0"/>
          <w:marTop w:val="0"/>
          <w:marBottom w:val="0"/>
          <w:divBdr>
            <w:top w:val="none" w:sz="0" w:space="0" w:color="auto"/>
            <w:left w:val="none" w:sz="0" w:space="0" w:color="auto"/>
            <w:bottom w:val="none" w:sz="0" w:space="0" w:color="auto"/>
            <w:right w:val="none" w:sz="0" w:space="0" w:color="auto"/>
          </w:divBdr>
          <w:divsChild>
            <w:div w:id="1017275078">
              <w:marLeft w:val="0"/>
              <w:marRight w:val="0"/>
              <w:marTop w:val="0"/>
              <w:marBottom w:val="0"/>
              <w:divBdr>
                <w:top w:val="none" w:sz="0" w:space="0" w:color="auto"/>
                <w:left w:val="none" w:sz="0" w:space="0" w:color="auto"/>
                <w:bottom w:val="none" w:sz="0" w:space="0" w:color="auto"/>
                <w:right w:val="none" w:sz="0" w:space="0" w:color="auto"/>
              </w:divBdr>
              <w:divsChild>
                <w:div w:id="696926524">
                  <w:marLeft w:val="0"/>
                  <w:marRight w:val="0"/>
                  <w:marTop w:val="0"/>
                  <w:marBottom w:val="0"/>
                  <w:divBdr>
                    <w:top w:val="none" w:sz="0" w:space="0" w:color="auto"/>
                    <w:left w:val="none" w:sz="0" w:space="0" w:color="auto"/>
                    <w:bottom w:val="none" w:sz="0" w:space="0" w:color="auto"/>
                    <w:right w:val="none" w:sz="0" w:space="0" w:color="auto"/>
                  </w:divBdr>
                  <w:divsChild>
                    <w:div w:id="237207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27383118">
      <w:bodyDiv w:val="1"/>
      <w:marLeft w:val="0"/>
      <w:marRight w:val="0"/>
      <w:marTop w:val="0"/>
      <w:marBottom w:val="0"/>
      <w:divBdr>
        <w:top w:val="none" w:sz="0" w:space="0" w:color="auto"/>
        <w:left w:val="none" w:sz="0" w:space="0" w:color="auto"/>
        <w:bottom w:val="none" w:sz="0" w:space="0" w:color="auto"/>
        <w:right w:val="none" w:sz="0" w:space="0" w:color="auto"/>
      </w:divBdr>
      <w:divsChild>
        <w:div w:id="2127651035">
          <w:marLeft w:val="0"/>
          <w:marRight w:val="0"/>
          <w:marTop w:val="0"/>
          <w:marBottom w:val="0"/>
          <w:divBdr>
            <w:top w:val="none" w:sz="0" w:space="0" w:color="auto"/>
            <w:left w:val="none" w:sz="0" w:space="0" w:color="auto"/>
            <w:bottom w:val="none" w:sz="0" w:space="0" w:color="auto"/>
            <w:right w:val="none" w:sz="0" w:space="0" w:color="auto"/>
          </w:divBdr>
          <w:divsChild>
            <w:div w:id="2010448796">
              <w:marLeft w:val="0"/>
              <w:marRight w:val="0"/>
              <w:marTop w:val="0"/>
              <w:marBottom w:val="0"/>
              <w:divBdr>
                <w:top w:val="none" w:sz="0" w:space="0" w:color="auto"/>
                <w:left w:val="none" w:sz="0" w:space="0" w:color="auto"/>
                <w:bottom w:val="none" w:sz="0" w:space="0" w:color="auto"/>
                <w:right w:val="none" w:sz="0" w:space="0" w:color="auto"/>
              </w:divBdr>
              <w:divsChild>
                <w:div w:id="1682703600">
                  <w:marLeft w:val="0"/>
                  <w:marRight w:val="0"/>
                  <w:marTop w:val="0"/>
                  <w:marBottom w:val="0"/>
                  <w:divBdr>
                    <w:top w:val="none" w:sz="0" w:space="0" w:color="auto"/>
                    <w:left w:val="none" w:sz="0" w:space="0" w:color="auto"/>
                    <w:bottom w:val="none" w:sz="0" w:space="0" w:color="auto"/>
                    <w:right w:val="none" w:sz="0" w:space="0" w:color="auto"/>
                  </w:divBdr>
                  <w:divsChild>
                    <w:div w:id="884025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36366115">
      <w:bodyDiv w:val="1"/>
      <w:marLeft w:val="0"/>
      <w:marRight w:val="0"/>
      <w:marTop w:val="0"/>
      <w:marBottom w:val="0"/>
      <w:divBdr>
        <w:top w:val="none" w:sz="0" w:space="0" w:color="auto"/>
        <w:left w:val="none" w:sz="0" w:space="0" w:color="auto"/>
        <w:bottom w:val="none" w:sz="0" w:space="0" w:color="auto"/>
        <w:right w:val="none" w:sz="0" w:space="0" w:color="auto"/>
      </w:divBdr>
      <w:divsChild>
        <w:div w:id="52823956">
          <w:marLeft w:val="0"/>
          <w:marRight w:val="0"/>
          <w:marTop w:val="0"/>
          <w:marBottom w:val="0"/>
          <w:divBdr>
            <w:top w:val="none" w:sz="0" w:space="0" w:color="auto"/>
            <w:left w:val="none" w:sz="0" w:space="0" w:color="auto"/>
            <w:bottom w:val="none" w:sz="0" w:space="0" w:color="auto"/>
            <w:right w:val="none" w:sz="0" w:space="0" w:color="auto"/>
          </w:divBdr>
          <w:divsChild>
            <w:div w:id="413356094">
              <w:marLeft w:val="0"/>
              <w:marRight w:val="0"/>
              <w:marTop w:val="0"/>
              <w:marBottom w:val="0"/>
              <w:divBdr>
                <w:top w:val="none" w:sz="0" w:space="0" w:color="auto"/>
                <w:left w:val="none" w:sz="0" w:space="0" w:color="auto"/>
                <w:bottom w:val="none" w:sz="0" w:space="0" w:color="auto"/>
                <w:right w:val="none" w:sz="0" w:space="0" w:color="auto"/>
              </w:divBdr>
              <w:divsChild>
                <w:div w:id="565342617">
                  <w:marLeft w:val="0"/>
                  <w:marRight w:val="0"/>
                  <w:marTop w:val="0"/>
                  <w:marBottom w:val="0"/>
                  <w:divBdr>
                    <w:top w:val="none" w:sz="0" w:space="0" w:color="auto"/>
                    <w:left w:val="none" w:sz="0" w:space="0" w:color="auto"/>
                    <w:bottom w:val="none" w:sz="0" w:space="0" w:color="auto"/>
                    <w:right w:val="none" w:sz="0" w:space="0" w:color="auto"/>
                  </w:divBdr>
                  <w:divsChild>
                    <w:div w:id="322783688">
                      <w:marLeft w:val="0"/>
                      <w:marRight w:val="0"/>
                      <w:marTop w:val="0"/>
                      <w:marBottom w:val="0"/>
                      <w:divBdr>
                        <w:top w:val="none" w:sz="0" w:space="0" w:color="auto"/>
                        <w:left w:val="none" w:sz="0" w:space="0" w:color="auto"/>
                        <w:bottom w:val="none" w:sz="0" w:space="0" w:color="auto"/>
                        <w:right w:val="none" w:sz="0" w:space="0" w:color="auto"/>
                      </w:divBdr>
                      <w:divsChild>
                        <w:div w:id="262690536">
                          <w:marLeft w:val="0"/>
                          <w:marRight w:val="0"/>
                          <w:marTop w:val="0"/>
                          <w:marBottom w:val="0"/>
                          <w:divBdr>
                            <w:top w:val="none" w:sz="0" w:space="0" w:color="auto"/>
                            <w:left w:val="none" w:sz="0" w:space="0" w:color="auto"/>
                            <w:bottom w:val="none" w:sz="0" w:space="0" w:color="auto"/>
                            <w:right w:val="none" w:sz="0" w:space="0" w:color="auto"/>
                          </w:divBdr>
                          <w:divsChild>
                            <w:div w:id="2074229394">
                              <w:marLeft w:val="0"/>
                              <w:marRight w:val="0"/>
                              <w:marTop w:val="0"/>
                              <w:marBottom w:val="0"/>
                              <w:divBdr>
                                <w:top w:val="none" w:sz="0" w:space="0" w:color="auto"/>
                                <w:left w:val="none" w:sz="0" w:space="0" w:color="auto"/>
                                <w:bottom w:val="none" w:sz="0" w:space="0" w:color="auto"/>
                                <w:right w:val="none" w:sz="0" w:space="0" w:color="auto"/>
                              </w:divBdr>
                              <w:divsChild>
                                <w:div w:id="916599508">
                                  <w:marLeft w:val="0"/>
                                  <w:marRight w:val="0"/>
                                  <w:marTop w:val="0"/>
                                  <w:marBottom w:val="0"/>
                                  <w:divBdr>
                                    <w:top w:val="none" w:sz="0" w:space="0" w:color="auto"/>
                                    <w:left w:val="none" w:sz="0" w:space="0" w:color="auto"/>
                                    <w:bottom w:val="none" w:sz="0" w:space="0" w:color="auto"/>
                                    <w:right w:val="none" w:sz="0" w:space="0" w:color="auto"/>
                                  </w:divBdr>
                                  <w:divsChild>
                                    <w:div w:id="138615591">
                                      <w:marLeft w:val="0"/>
                                      <w:marRight w:val="0"/>
                                      <w:marTop w:val="0"/>
                                      <w:marBottom w:val="0"/>
                                      <w:divBdr>
                                        <w:top w:val="none" w:sz="0" w:space="0" w:color="auto"/>
                                        <w:left w:val="none" w:sz="0" w:space="0" w:color="auto"/>
                                        <w:bottom w:val="none" w:sz="0" w:space="0" w:color="auto"/>
                                        <w:right w:val="none" w:sz="0" w:space="0" w:color="auto"/>
                                      </w:divBdr>
                                      <w:divsChild>
                                        <w:div w:id="595476545">
                                          <w:marLeft w:val="0"/>
                                          <w:marRight w:val="0"/>
                                          <w:marTop w:val="0"/>
                                          <w:marBottom w:val="0"/>
                                          <w:divBdr>
                                            <w:top w:val="none" w:sz="0" w:space="0" w:color="auto"/>
                                            <w:left w:val="none" w:sz="0" w:space="0" w:color="auto"/>
                                            <w:bottom w:val="none" w:sz="0" w:space="0" w:color="auto"/>
                                            <w:right w:val="none" w:sz="0" w:space="0" w:color="auto"/>
                                          </w:divBdr>
                                          <w:divsChild>
                                            <w:div w:id="2138376053">
                                              <w:marLeft w:val="0"/>
                                              <w:marRight w:val="0"/>
                                              <w:marTop w:val="0"/>
                                              <w:marBottom w:val="0"/>
                                              <w:divBdr>
                                                <w:top w:val="none" w:sz="0" w:space="0" w:color="auto"/>
                                                <w:left w:val="none" w:sz="0" w:space="0" w:color="auto"/>
                                                <w:bottom w:val="none" w:sz="0" w:space="0" w:color="auto"/>
                                                <w:right w:val="none" w:sz="0" w:space="0" w:color="auto"/>
                                              </w:divBdr>
                                              <w:divsChild>
                                                <w:div w:id="1913391264">
                                                  <w:marLeft w:val="0"/>
                                                  <w:marRight w:val="0"/>
                                                  <w:marTop w:val="0"/>
                                                  <w:marBottom w:val="0"/>
                                                  <w:divBdr>
                                                    <w:top w:val="none" w:sz="0" w:space="0" w:color="auto"/>
                                                    <w:left w:val="none" w:sz="0" w:space="0" w:color="auto"/>
                                                    <w:bottom w:val="none" w:sz="0" w:space="0" w:color="auto"/>
                                                    <w:right w:val="none" w:sz="0" w:space="0" w:color="auto"/>
                                                  </w:divBdr>
                                                  <w:divsChild>
                                                    <w:div w:id="3548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4920001">
      <w:bodyDiv w:val="1"/>
      <w:marLeft w:val="0"/>
      <w:marRight w:val="0"/>
      <w:marTop w:val="0"/>
      <w:marBottom w:val="0"/>
      <w:divBdr>
        <w:top w:val="none" w:sz="0" w:space="0" w:color="auto"/>
        <w:left w:val="none" w:sz="0" w:space="0" w:color="auto"/>
        <w:bottom w:val="none" w:sz="0" w:space="0" w:color="auto"/>
        <w:right w:val="none" w:sz="0" w:space="0" w:color="auto"/>
      </w:divBdr>
      <w:divsChild>
        <w:div w:id="592517348">
          <w:marLeft w:val="0"/>
          <w:marRight w:val="0"/>
          <w:marTop w:val="0"/>
          <w:marBottom w:val="0"/>
          <w:divBdr>
            <w:top w:val="none" w:sz="0" w:space="0" w:color="auto"/>
            <w:left w:val="none" w:sz="0" w:space="0" w:color="auto"/>
            <w:bottom w:val="none" w:sz="0" w:space="0" w:color="auto"/>
            <w:right w:val="none" w:sz="0" w:space="0" w:color="auto"/>
          </w:divBdr>
          <w:divsChild>
            <w:div w:id="2018967613">
              <w:marLeft w:val="0"/>
              <w:marRight w:val="0"/>
              <w:marTop w:val="0"/>
              <w:marBottom w:val="0"/>
              <w:divBdr>
                <w:top w:val="none" w:sz="0" w:space="0" w:color="auto"/>
                <w:left w:val="none" w:sz="0" w:space="0" w:color="auto"/>
                <w:bottom w:val="none" w:sz="0" w:space="0" w:color="auto"/>
                <w:right w:val="none" w:sz="0" w:space="0" w:color="auto"/>
              </w:divBdr>
              <w:divsChild>
                <w:div w:id="1513104696">
                  <w:marLeft w:val="0"/>
                  <w:marRight w:val="0"/>
                  <w:marTop w:val="0"/>
                  <w:marBottom w:val="0"/>
                  <w:divBdr>
                    <w:top w:val="none" w:sz="0" w:space="0" w:color="auto"/>
                    <w:left w:val="none" w:sz="0" w:space="0" w:color="auto"/>
                    <w:bottom w:val="none" w:sz="0" w:space="0" w:color="auto"/>
                    <w:right w:val="none" w:sz="0" w:space="0" w:color="auto"/>
                  </w:divBdr>
                  <w:divsChild>
                    <w:div w:id="1154834037">
                      <w:marLeft w:val="0"/>
                      <w:marRight w:val="0"/>
                      <w:marTop w:val="0"/>
                      <w:marBottom w:val="0"/>
                      <w:divBdr>
                        <w:top w:val="none" w:sz="0" w:space="0" w:color="auto"/>
                        <w:left w:val="none" w:sz="0" w:space="0" w:color="auto"/>
                        <w:bottom w:val="none" w:sz="0" w:space="0" w:color="auto"/>
                        <w:right w:val="none" w:sz="0" w:space="0" w:color="auto"/>
                      </w:divBdr>
                      <w:divsChild>
                        <w:div w:id="199826616">
                          <w:marLeft w:val="-15"/>
                          <w:marRight w:val="0"/>
                          <w:marTop w:val="0"/>
                          <w:marBottom w:val="0"/>
                          <w:divBdr>
                            <w:top w:val="none" w:sz="0" w:space="0" w:color="auto"/>
                            <w:left w:val="none" w:sz="0" w:space="0" w:color="auto"/>
                            <w:bottom w:val="none" w:sz="0" w:space="0" w:color="auto"/>
                            <w:right w:val="none" w:sz="0" w:space="0" w:color="auto"/>
                          </w:divBdr>
                          <w:divsChild>
                            <w:div w:id="829444472">
                              <w:marLeft w:val="0"/>
                              <w:marRight w:val="0"/>
                              <w:marTop w:val="0"/>
                              <w:marBottom w:val="0"/>
                              <w:divBdr>
                                <w:top w:val="none" w:sz="0" w:space="0" w:color="auto"/>
                                <w:left w:val="none" w:sz="0" w:space="0" w:color="auto"/>
                                <w:bottom w:val="none" w:sz="0" w:space="0" w:color="auto"/>
                                <w:right w:val="none" w:sz="0" w:space="0" w:color="auto"/>
                              </w:divBdr>
                              <w:divsChild>
                                <w:div w:id="1755474049">
                                  <w:marLeft w:val="0"/>
                                  <w:marRight w:val="-15"/>
                                  <w:marTop w:val="0"/>
                                  <w:marBottom w:val="0"/>
                                  <w:divBdr>
                                    <w:top w:val="none" w:sz="0" w:space="0" w:color="auto"/>
                                    <w:left w:val="none" w:sz="0" w:space="0" w:color="auto"/>
                                    <w:bottom w:val="none" w:sz="0" w:space="0" w:color="auto"/>
                                    <w:right w:val="none" w:sz="0" w:space="0" w:color="auto"/>
                                  </w:divBdr>
                                  <w:divsChild>
                                    <w:div w:id="161090707">
                                      <w:marLeft w:val="0"/>
                                      <w:marRight w:val="0"/>
                                      <w:marTop w:val="0"/>
                                      <w:marBottom w:val="0"/>
                                      <w:divBdr>
                                        <w:top w:val="none" w:sz="0" w:space="0" w:color="auto"/>
                                        <w:left w:val="none" w:sz="0" w:space="0" w:color="auto"/>
                                        <w:bottom w:val="none" w:sz="0" w:space="0" w:color="auto"/>
                                        <w:right w:val="none" w:sz="0" w:space="0" w:color="auto"/>
                                      </w:divBdr>
                                      <w:divsChild>
                                        <w:div w:id="634288664">
                                          <w:marLeft w:val="0"/>
                                          <w:marRight w:val="0"/>
                                          <w:marTop w:val="0"/>
                                          <w:marBottom w:val="0"/>
                                          <w:divBdr>
                                            <w:top w:val="none" w:sz="0" w:space="0" w:color="auto"/>
                                            <w:left w:val="none" w:sz="0" w:space="0" w:color="auto"/>
                                            <w:bottom w:val="none" w:sz="0" w:space="0" w:color="auto"/>
                                            <w:right w:val="none" w:sz="0" w:space="0" w:color="auto"/>
                                          </w:divBdr>
                                          <w:divsChild>
                                            <w:div w:id="674958054">
                                              <w:marLeft w:val="-270"/>
                                              <w:marRight w:val="0"/>
                                              <w:marTop w:val="0"/>
                                              <w:marBottom w:val="0"/>
                                              <w:divBdr>
                                                <w:top w:val="none" w:sz="0" w:space="0" w:color="auto"/>
                                                <w:left w:val="none" w:sz="0" w:space="0" w:color="auto"/>
                                                <w:bottom w:val="none" w:sz="0" w:space="0" w:color="auto"/>
                                                <w:right w:val="none" w:sz="0" w:space="0" w:color="auto"/>
                                              </w:divBdr>
                                              <w:divsChild>
                                                <w:div w:id="161622847">
                                                  <w:marLeft w:val="0"/>
                                                  <w:marRight w:val="0"/>
                                                  <w:marTop w:val="0"/>
                                                  <w:marBottom w:val="0"/>
                                                  <w:divBdr>
                                                    <w:top w:val="single" w:sz="6" w:space="0" w:color="E5E6E9"/>
                                                    <w:left w:val="single" w:sz="6" w:space="0" w:color="DFE0E4"/>
                                                    <w:bottom w:val="single" w:sz="6" w:space="0" w:color="D0D1D5"/>
                                                    <w:right w:val="single" w:sz="6" w:space="0" w:color="DFE0E4"/>
                                                  </w:divBdr>
                                                  <w:divsChild>
                                                    <w:div w:id="635843364">
                                                      <w:marLeft w:val="0"/>
                                                      <w:marRight w:val="0"/>
                                                      <w:marTop w:val="0"/>
                                                      <w:marBottom w:val="0"/>
                                                      <w:divBdr>
                                                        <w:top w:val="none" w:sz="0" w:space="0" w:color="auto"/>
                                                        <w:left w:val="none" w:sz="0" w:space="0" w:color="auto"/>
                                                        <w:bottom w:val="none" w:sz="0" w:space="0" w:color="auto"/>
                                                        <w:right w:val="none" w:sz="0" w:space="0" w:color="auto"/>
                                                      </w:divBdr>
                                                      <w:divsChild>
                                                        <w:div w:id="936979417">
                                                          <w:marLeft w:val="0"/>
                                                          <w:marRight w:val="0"/>
                                                          <w:marTop w:val="0"/>
                                                          <w:marBottom w:val="0"/>
                                                          <w:divBdr>
                                                            <w:top w:val="none" w:sz="0" w:space="0" w:color="auto"/>
                                                            <w:left w:val="none" w:sz="0" w:space="0" w:color="auto"/>
                                                            <w:bottom w:val="none" w:sz="0" w:space="0" w:color="auto"/>
                                                            <w:right w:val="none" w:sz="0" w:space="0" w:color="auto"/>
                                                          </w:divBdr>
                                                          <w:divsChild>
                                                            <w:div w:id="750469566">
                                                              <w:marLeft w:val="0"/>
                                                              <w:marRight w:val="0"/>
                                                              <w:marTop w:val="0"/>
                                                              <w:marBottom w:val="0"/>
                                                              <w:divBdr>
                                                                <w:top w:val="none" w:sz="0" w:space="0" w:color="auto"/>
                                                                <w:left w:val="none" w:sz="0" w:space="0" w:color="auto"/>
                                                                <w:bottom w:val="none" w:sz="0" w:space="0" w:color="auto"/>
                                                                <w:right w:val="none" w:sz="0" w:space="0" w:color="auto"/>
                                                              </w:divBdr>
                                                              <w:divsChild>
                                                                <w:div w:id="13662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2088914">
      <w:bodyDiv w:val="1"/>
      <w:marLeft w:val="0"/>
      <w:marRight w:val="0"/>
      <w:marTop w:val="0"/>
      <w:marBottom w:val="0"/>
      <w:divBdr>
        <w:top w:val="none" w:sz="0" w:space="0" w:color="auto"/>
        <w:left w:val="none" w:sz="0" w:space="0" w:color="auto"/>
        <w:bottom w:val="none" w:sz="0" w:space="0" w:color="auto"/>
        <w:right w:val="none" w:sz="0" w:space="0" w:color="auto"/>
      </w:divBdr>
      <w:divsChild>
        <w:div w:id="95099949">
          <w:marLeft w:val="0"/>
          <w:marRight w:val="0"/>
          <w:marTop w:val="0"/>
          <w:marBottom w:val="0"/>
          <w:divBdr>
            <w:top w:val="none" w:sz="0" w:space="0" w:color="auto"/>
            <w:left w:val="none" w:sz="0" w:space="0" w:color="auto"/>
            <w:bottom w:val="none" w:sz="0" w:space="0" w:color="auto"/>
            <w:right w:val="none" w:sz="0" w:space="0" w:color="auto"/>
          </w:divBdr>
          <w:divsChild>
            <w:div w:id="1755395526">
              <w:marLeft w:val="0"/>
              <w:marRight w:val="0"/>
              <w:marTop w:val="0"/>
              <w:marBottom w:val="0"/>
              <w:divBdr>
                <w:top w:val="none" w:sz="0" w:space="0" w:color="auto"/>
                <w:left w:val="none" w:sz="0" w:space="0" w:color="auto"/>
                <w:bottom w:val="none" w:sz="0" w:space="0" w:color="auto"/>
                <w:right w:val="none" w:sz="0" w:space="0" w:color="auto"/>
              </w:divBdr>
              <w:divsChild>
                <w:div w:id="948126507">
                  <w:marLeft w:val="0"/>
                  <w:marRight w:val="0"/>
                  <w:marTop w:val="0"/>
                  <w:marBottom w:val="0"/>
                  <w:divBdr>
                    <w:top w:val="none" w:sz="0" w:space="0" w:color="auto"/>
                    <w:left w:val="none" w:sz="0" w:space="0" w:color="auto"/>
                    <w:bottom w:val="none" w:sz="0" w:space="0" w:color="auto"/>
                    <w:right w:val="none" w:sz="0" w:space="0" w:color="auto"/>
                  </w:divBdr>
                  <w:divsChild>
                    <w:div w:id="276838739">
                      <w:marLeft w:val="0"/>
                      <w:marRight w:val="0"/>
                      <w:marTop w:val="0"/>
                      <w:marBottom w:val="0"/>
                      <w:divBdr>
                        <w:top w:val="none" w:sz="0" w:space="0" w:color="auto"/>
                        <w:left w:val="none" w:sz="0" w:space="0" w:color="auto"/>
                        <w:bottom w:val="none" w:sz="0" w:space="0" w:color="auto"/>
                        <w:right w:val="none" w:sz="0" w:space="0" w:color="auto"/>
                      </w:divBdr>
                      <w:divsChild>
                        <w:div w:id="165637114">
                          <w:marLeft w:val="0"/>
                          <w:marRight w:val="0"/>
                          <w:marTop w:val="0"/>
                          <w:marBottom w:val="0"/>
                          <w:divBdr>
                            <w:top w:val="none" w:sz="0" w:space="0" w:color="auto"/>
                            <w:left w:val="none" w:sz="0" w:space="0" w:color="auto"/>
                            <w:bottom w:val="none" w:sz="0" w:space="0" w:color="auto"/>
                            <w:right w:val="none" w:sz="0" w:space="0" w:color="auto"/>
                          </w:divBdr>
                          <w:divsChild>
                            <w:div w:id="407193065">
                              <w:marLeft w:val="0"/>
                              <w:marRight w:val="0"/>
                              <w:marTop w:val="0"/>
                              <w:marBottom w:val="0"/>
                              <w:divBdr>
                                <w:top w:val="none" w:sz="0" w:space="0" w:color="auto"/>
                                <w:left w:val="none" w:sz="0" w:space="0" w:color="auto"/>
                                <w:bottom w:val="none" w:sz="0" w:space="0" w:color="auto"/>
                                <w:right w:val="none" w:sz="0" w:space="0" w:color="auto"/>
                              </w:divBdr>
                              <w:divsChild>
                                <w:div w:id="2061317114">
                                  <w:marLeft w:val="0"/>
                                  <w:marRight w:val="0"/>
                                  <w:marTop w:val="0"/>
                                  <w:marBottom w:val="0"/>
                                  <w:divBdr>
                                    <w:top w:val="none" w:sz="0" w:space="0" w:color="auto"/>
                                    <w:left w:val="none" w:sz="0" w:space="0" w:color="auto"/>
                                    <w:bottom w:val="none" w:sz="0" w:space="0" w:color="auto"/>
                                    <w:right w:val="none" w:sz="0" w:space="0" w:color="auto"/>
                                  </w:divBdr>
                                  <w:divsChild>
                                    <w:div w:id="1385103940">
                                      <w:marLeft w:val="0"/>
                                      <w:marRight w:val="0"/>
                                      <w:marTop w:val="0"/>
                                      <w:marBottom w:val="0"/>
                                      <w:divBdr>
                                        <w:top w:val="none" w:sz="0" w:space="0" w:color="auto"/>
                                        <w:left w:val="none" w:sz="0" w:space="0" w:color="auto"/>
                                        <w:bottom w:val="none" w:sz="0" w:space="0" w:color="auto"/>
                                        <w:right w:val="none" w:sz="0" w:space="0" w:color="auto"/>
                                      </w:divBdr>
                                      <w:divsChild>
                                        <w:div w:id="1139494506">
                                          <w:marLeft w:val="0"/>
                                          <w:marRight w:val="0"/>
                                          <w:marTop w:val="0"/>
                                          <w:marBottom w:val="0"/>
                                          <w:divBdr>
                                            <w:top w:val="none" w:sz="0" w:space="0" w:color="auto"/>
                                            <w:left w:val="none" w:sz="0" w:space="0" w:color="auto"/>
                                            <w:bottom w:val="none" w:sz="0" w:space="0" w:color="auto"/>
                                            <w:right w:val="none" w:sz="0" w:space="0" w:color="auto"/>
                                          </w:divBdr>
                                          <w:divsChild>
                                            <w:div w:id="1206679225">
                                              <w:marLeft w:val="0"/>
                                              <w:marRight w:val="0"/>
                                              <w:marTop w:val="0"/>
                                              <w:marBottom w:val="0"/>
                                              <w:divBdr>
                                                <w:top w:val="none" w:sz="0" w:space="0" w:color="auto"/>
                                                <w:left w:val="none" w:sz="0" w:space="0" w:color="auto"/>
                                                <w:bottom w:val="none" w:sz="0" w:space="0" w:color="auto"/>
                                                <w:right w:val="none" w:sz="0" w:space="0" w:color="auto"/>
                                              </w:divBdr>
                                              <w:divsChild>
                                                <w:div w:id="1799227518">
                                                  <w:marLeft w:val="0"/>
                                                  <w:marRight w:val="0"/>
                                                  <w:marTop w:val="0"/>
                                                  <w:marBottom w:val="0"/>
                                                  <w:divBdr>
                                                    <w:top w:val="none" w:sz="0" w:space="0" w:color="auto"/>
                                                    <w:left w:val="none" w:sz="0" w:space="0" w:color="auto"/>
                                                    <w:bottom w:val="none" w:sz="0" w:space="0" w:color="auto"/>
                                                    <w:right w:val="none" w:sz="0" w:space="0" w:color="auto"/>
                                                  </w:divBdr>
                                                  <w:divsChild>
                                                    <w:div w:id="10973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5806432">
      <w:bodyDiv w:val="1"/>
      <w:marLeft w:val="0"/>
      <w:marRight w:val="0"/>
      <w:marTop w:val="0"/>
      <w:marBottom w:val="0"/>
      <w:divBdr>
        <w:top w:val="none" w:sz="0" w:space="0" w:color="auto"/>
        <w:left w:val="none" w:sz="0" w:space="0" w:color="auto"/>
        <w:bottom w:val="none" w:sz="0" w:space="0" w:color="auto"/>
        <w:right w:val="none" w:sz="0" w:space="0" w:color="auto"/>
      </w:divBdr>
      <w:divsChild>
        <w:div w:id="692387970">
          <w:marLeft w:val="0"/>
          <w:marRight w:val="0"/>
          <w:marTop w:val="0"/>
          <w:marBottom w:val="0"/>
          <w:divBdr>
            <w:top w:val="none" w:sz="0" w:space="0" w:color="auto"/>
            <w:left w:val="none" w:sz="0" w:space="0" w:color="auto"/>
            <w:bottom w:val="none" w:sz="0" w:space="0" w:color="auto"/>
            <w:right w:val="none" w:sz="0" w:space="0" w:color="auto"/>
          </w:divBdr>
          <w:divsChild>
            <w:div w:id="283662033">
              <w:marLeft w:val="0"/>
              <w:marRight w:val="0"/>
              <w:marTop w:val="0"/>
              <w:marBottom w:val="0"/>
              <w:divBdr>
                <w:top w:val="none" w:sz="0" w:space="0" w:color="auto"/>
                <w:left w:val="none" w:sz="0" w:space="0" w:color="auto"/>
                <w:bottom w:val="none" w:sz="0" w:space="0" w:color="auto"/>
                <w:right w:val="none" w:sz="0" w:space="0" w:color="auto"/>
              </w:divBdr>
              <w:divsChild>
                <w:div w:id="513496968">
                  <w:marLeft w:val="0"/>
                  <w:marRight w:val="0"/>
                  <w:marTop w:val="0"/>
                  <w:marBottom w:val="0"/>
                  <w:divBdr>
                    <w:top w:val="none" w:sz="0" w:space="0" w:color="auto"/>
                    <w:left w:val="none" w:sz="0" w:space="0" w:color="auto"/>
                    <w:bottom w:val="none" w:sz="0" w:space="0" w:color="auto"/>
                    <w:right w:val="none" w:sz="0" w:space="0" w:color="auto"/>
                  </w:divBdr>
                  <w:divsChild>
                    <w:div w:id="1275287712">
                      <w:marLeft w:val="0"/>
                      <w:marRight w:val="0"/>
                      <w:marTop w:val="0"/>
                      <w:marBottom w:val="0"/>
                      <w:divBdr>
                        <w:top w:val="none" w:sz="0" w:space="0" w:color="auto"/>
                        <w:left w:val="none" w:sz="0" w:space="0" w:color="auto"/>
                        <w:bottom w:val="none" w:sz="0" w:space="0" w:color="auto"/>
                        <w:right w:val="none" w:sz="0" w:space="0" w:color="auto"/>
                      </w:divBdr>
                      <w:divsChild>
                        <w:div w:id="551428998">
                          <w:marLeft w:val="0"/>
                          <w:marRight w:val="0"/>
                          <w:marTop w:val="0"/>
                          <w:marBottom w:val="0"/>
                          <w:divBdr>
                            <w:top w:val="none" w:sz="0" w:space="0" w:color="auto"/>
                            <w:left w:val="none" w:sz="0" w:space="0" w:color="auto"/>
                            <w:bottom w:val="none" w:sz="0" w:space="0" w:color="auto"/>
                            <w:right w:val="none" w:sz="0" w:space="0" w:color="auto"/>
                          </w:divBdr>
                          <w:divsChild>
                            <w:div w:id="966397640">
                              <w:marLeft w:val="0"/>
                              <w:marRight w:val="0"/>
                              <w:marTop w:val="0"/>
                              <w:marBottom w:val="0"/>
                              <w:divBdr>
                                <w:top w:val="none" w:sz="0" w:space="0" w:color="auto"/>
                                <w:left w:val="none" w:sz="0" w:space="0" w:color="auto"/>
                                <w:bottom w:val="none" w:sz="0" w:space="0" w:color="auto"/>
                                <w:right w:val="none" w:sz="0" w:space="0" w:color="auto"/>
                              </w:divBdr>
                              <w:divsChild>
                                <w:div w:id="1191645440">
                                  <w:marLeft w:val="0"/>
                                  <w:marRight w:val="0"/>
                                  <w:marTop w:val="0"/>
                                  <w:marBottom w:val="0"/>
                                  <w:divBdr>
                                    <w:top w:val="none" w:sz="0" w:space="0" w:color="auto"/>
                                    <w:left w:val="none" w:sz="0" w:space="0" w:color="auto"/>
                                    <w:bottom w:val="none" w:sz="0" w:space="0" w:color="auto"/>
                                    <w:right w:val="none" w:sz="0" w:space="0" w:color="auto"/>
                                  </w:divBdr>
                                  <w:divsChild>
                                    <w:div w:id="1386031629">
                                      <w:marLeft w:val="0"/>
                                      <w:marRight w:val="0"/>
                                      <w:marTop w:val="0"/>
                                      <w:marBottom w:val="0"/>
                                      <w:divBdr>
                                        <w:top w:val="none" w:sz="0" w:space="0" w:color="auto"/>
                                        <w:left w:val="none" w:sz="0" w:space="0" w:color="auto"/>
                                        <w:bottom w:val="none" w:sz="0" w:space="0" w:color="auto"/>
                                        <w:right w:val="none" w:sz="0" w:space="0" w:color="auto"/>
                                      </w:divBdr>
                                      <w:divsChild>
                                        <w:div w:id="1586955350">
                                          <w:marLeft w:val="0"/>
                                          <w:marRight w:val="0"/>
                                          <w:marTop w:val="0"/>
                                          <w:marBottom w:val="0"/>
                                          <w:divBdr>
                                            <w:top w:val="none" w:sz="0" w:space="0" w:color="auto"/>
                                            <w:left w:val="none" w:sz="0" w:space="0" w:color="auto"/>
                                            <w:bottom w:val="none" w:sz="0" w:space="0" w:color="auto"/>
                                            <w:right w:val="none" w:sz="0" w:space="0" w:color="auto"/>
                                          </w:divBdr>
                                          <w:divsChild>
                                            <w:div w:id="436829021">
                                              <w:marLeft w:val="0"/>
                                              <w:marRight w:val="0"/>
                                              <w:marTop w:val="0"/>
                                              <w:marBottom w:val="0"/>
                                              <w:divBdr>
                                                <w:top w:val="none" w:sz="0" w:space="0" w:color="auto"/>
                                                <w:left w:val="none" w:sz="0" w:space="0" w:color="auto"/>
                                                <w:bottom w:val="none" w:sz="0" w:space="0" w:color="auto"/>
                                                <w:right w:val="none" w:sz="0" w:space="0" w:color="auto"/>
                                              </w:divBdr>
                                              <w:divsChild>
                                                <w:div w:id="42485178">
                                                  <w:marLeft w:val="0"/>
                                                  <w:marRight w:val="0"/>
                                                  <w:marTop w:val="0"/>
                                                  <w:marBottom w:val="0"/>
                                                  <w:divBdr>
                                                    <w:top w:val="none" w:sz="0" w:space="0" w:color="auto"/>
                                                    <w:left w:val="none" w:sz="0" w:space="0" w:color="auto"/>
                                                    <w:bottom w:val="none" w:sz="0" w:space="0" w:color="auto"/>
                                                    <w:right w:val="none" w:sz="0" w:space="0" w:color="auto"/>
                                                  </w:divBdr>
                                                  <w:divsChild>
                                                    <w:div w:id="190050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bs.org/wgbh/nova/ancient/bibles-buried-secret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qalTJzk4kO0"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biblegateway.com/passage/?search=1%20Kings%206%3A1&amp;version=KJV;WLC" TargetMode="External"/><Relationship Id="rId2" Type="http://schemas.openxmlformats.org/officeDocument/2006/relationships/hyperlink" Target="https://www.ellopos.net/elpenor/greek-texts/septuagint/chapter.asp?book=11&amp;page=6" TargetMode="External"/><Relationship Id="rId1" Type="http://schemas.openxmlformats.org/officeDocument/2006/relationships/hyperlink" Target="http://en.wikipedia.org/wiki/Bubastite_Portal" TargetMode="External"/><Relationship Id="rId5" Type="http://schemas.openxmlformats.org/officeDocument/2006/relationships/hyperlink" Target="http://en.wikipedia.org/wiki/Julius_Wellhausen" TargetMode="External"/><Relationship Id="rId4" Type="http://schemas.openxmlformats.org/officeDocument/2006/relationships/hyperlink" Target="http://en.wikipedia.org/wiki/R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76E3C-E230-497A-A609-FF25596BE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1778</TotalTime>
  <Pages>12</Pages>
  <Words>1979</Words>
  <Characters>11284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Swerbs</dc:creator>
  <cp:lastModifiedBy>Herb Swanson</cp:lastModifiedBy>
  <cp:revision>46</cp:revision>
  <cp:lastPrinted>2012-08-25T18:06:00Z</cp:lastPrinted>
  <dcterms:created xsi:type="dcterms:W3CDTF">2015-06-02T16:05:00Z</dcterms:created>
  <dcterms:modified xsi:type="dcterms:W3CDTF">2017-10-25T07:02:00Z</dcterms:modified>
</cp:coreProperties>
</file>